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00722130" w:displacedByCustomXml="next"/>
    <w:sdt>
      <w:sdtPr>
        <w:rPr>
          <w:rFonts w:asciiTheme="minorHAnsi" w:eastAsiaTheme="minorEastAsia" w:hAnsiTheme="minorHAnsi" w:cstheme="minorBidi"/>
          <w:b w:val="0"/>
          <w:bCs w:val="0"/>
          <w:color w:val="auto"/>
          <w:sz w:val="22"/>
          <w:szCs w:val="22"/>
          <w:lang w:val="zh-CN"/>
        </w:rPr>
        <w:id w:val="1979249722"/>
        <w:docPartObj>
          <w:docPartGallery w:val="Table of Contents"/>
          <w:docPartUnique/>
        </w:docPartObj>
      </w:sdtPr>
      <w:sdtEndPr/>
      <w:sdtContent>
        <w:p w:rsidR="00AC462A" w:rsidRPr="00AC462A" w:rsidRDefault="00AC462A" w:rsidP="00A41455">
          <w:pPr>
            <w:pStyle w:val="TOC"/>
            <w:spacing w:before="0" w:line="240" w:lineRule="auto"/>
            <w:rPr>
              <w:rFonts w:ascii="Palatino Linotype" w:hAnsi="Palatino Linotype"/>
              <w:color w:val="auto"/>
              <w:sz w:val="20"/>
              <w:szCs w:val="20"/>
              <w:lang w:val="en-GB"/>
            </w:rPr>
          </w:pPr>
          <w:r w:rsidRPr="00AC462A">
            <w:rPr>
              <w:rFonts w:ascii="Palatino Linotype" w:hAnsi="Palatino Linotype"/>
              <w:color w:val="auto"/>
              <w:sz w:val="20"/>
              <w:szCs w:val="20"/>
              <w:lang w:val="zh-CN"/>
            </w:rPr>
            <w:t>T</w:t>
          </w:r>
          <w:r w:rsidRPr="00AC462A">
            <w:rPr>
              <w:rFonts w:ascii="Palatino Linotype" w:hAnsi="Palatino Linotype"/>
              <w:color w:val="auto"/>
              <w:sz w:val="20"/>
              <w:szCs w:val="20"/>
              <w:lang w:val="en-GB"/>
            </w:rPr>
            <w:t>able of content</w:t>
          </w:r>
        </w:p>
        <w:p w:rsidR="00AC462A" w:rsidRPr="00A41455" w:rsidRDefault="00AC462A" w:rsidP="00A41455">
          <w:pPr>
            <w:pStyle w:val="11"/>
            <w:tabs>
              <w:tab w:val="left" w:pos="403"/>
              <w:tab w:val="right" w:leader="dot" w:pos="9736"/>
            </w:tabs>
            <w:spacing w:after="0" w:line="240" w:lineRule="auto"/>
            <w:rPr>
              <w:rFonts w:ascii="Palatino Linotype" w:hAnsi="Palatino Linotype"/>
              <w:noProof/>
              <w:kern w:val="2"/>
              <w:sz w:val="20"/>
              <w:szCs w:val="20"/>
            </w:rPr>
          </w:pPr>
          <w:r w:rsidRPr="00A41455">
            <w:rPr>
              <w:rFonts w:ascii="Palatino Linotype" w:hAnsi="Palatino Linotype"/>
              <w:sz w:val="20"/>
              <w:szCs w:val="20"/>
            </w:rPr>
            <w:fldChar w:fldCharType="begin"/>
          </w:r>
          <w:r w:rsidRPr="00A41455">
            <w:rPr>
              <w:rFonts w:ascii="Palatino Linotype" w:hAnsi="Palatino Linotype"/>
              <w:sz w:val="20"/>
              <w:szCs w:val="20"/>
            </w:rPr>
            <w:instrText xml:space="preserve"> TOC \o "1-3" \h \z \u </w:instrText>
          </w:r>
          <w:r w:rsidRPr="00A41455">
            <w:rPr>
              <w:rFonts w:ascii="Palatino Linotype" w:hAnsi="Palatino Linotype"/>
              <w:sz w:val="20"/>
              <w:szCs w:val="20"/>
            </w:rPr>
            <w:fldChar w:fldCharType="separate"/>
          </w:r>
          <w:hyperlink w:anchor="_Toc38967893" w:history="1">
            <w:r w:rsidRPr="00A41455">
              <w:rPr>
                <w:rStyle w:val="aff2"/>
                <w:rFonts w:ascii="Palatino Linotype" w:hAnsi="Palatino Linotype" w:cs="Times New Roman"/>
                <w:noProof/>
                <w:color w:val="auto"/>
                <w:sz w:val="20"/>
                <w:szCs w:val="20"/>
              </w:rPr>
              <w:t>1.</w:t>
            </w:r>
            <w:r w:rsidRPr="00A41455">
              <w:rPr>
                <w:rFonts w:ascii="Palatino Linotype" w:hAnsi="Palatino Linotype"/>
                <w:noProof/>
                <w:kern w:val="2"/>
                <w:sz w:val="20"/>
                <w:szCs w:val="20"/>
              </w:rPr>
              <w:tab/>
            </w:r>
            <w:r w:rsidRPr="00A41455">
              <w:rPr>
                <w:rStyle w:val="aff2"/>
                <w:rFonts w:ascii="Palatino Linotype" w:hAnsi="Palatino Linotype" w:cs="Times New Roman"/>
                <w:noProof/>
                <w:color w:val="auto"/>
                <w:sz w:val="20"/>
                <w:szCs w:val="20"/>
              </w:rPr>
              <w:t>DFBA problem formulation</w:t>
            </w:r>
            <w:r w:rsidRPr="00A41455">
              <w:rPr>
                <w:rFonts w:ascii="Palatino Linotype" w:hAnsi="Palatino Linotype"/>
                <w:noProof/>
                <w:webHidden/>
                <w:sz w:val="20"/>
                <w:szCs w:val="20"/>
              </w:rPr>
              <w:tab/>
            </w:r>
            <w:r w:rsidRPr="00A41455">
              <w:rPr>
                <w:rFonts w:ascii="Palatino Linotype" w:hAnsi="Palatino Linotype"/>
                <w:noProof/>
                <w:webHidden/>
                <w:sz w:val="20"/>
                <w:szCs w:val="20"/>
              </w:rPr>
              <w:fldChar w:fldCharType="begin"/>
            </w:r>
            <w:r w:rsidRPr="00A41455">
              <w:rPr>
                <w:rFonts w:ascii="Palatino Linotype" w:hAnsi="Palatino Linotype"/>
                <w:noProof/>
                <w:webHidden/>
                <w:sz w:val="20"/>
                <w:szCs w:val="20"/>
              </w:rPr>
              <w:instrText xml:space="preserve"> PAGEREF _Toc38967893 \h </w:instrText>
            </w:r>
            <w:r w:rsidRPr="00A41455">
              <w:rPr>
                <w:rFonts w:ascii="Palatino Linotype" w:hAnsi="Palatino Linotype"/>
                <w:noProof/>
                <w:webHidden/>
                <w:sz w:val="20"/>
                <w:szCs w:val="20"/>
              </w:rPr>
            </w:r>
            <w:r w:rsidRPr="00A41455">
              <w:rPr>
                <w:rFonts w:ascii="Palatino Linotype" w:hAnsi="Palatino Linotype"/>
                <w:noProof/>
                <w:webHidden/>
                <w:sz w:val="20"/>
                <w:szCs w:val="20"/>
              </w:rPr>
              <w:fldChar w:fldCharType="separate"/>
            </w:r>
            <w:r w:rsidRPr="00A41455">
              <w:rPr>
                <w:rFonts w:ascii="Palatino Linotype" w:hAnsi="Palatino Linotype"/>
                <w:noProof/>
                <w:webHidden/>
                <w:sz w:val="20"/>
                <w:szCs w:val="20"/>
              </w:rPr>
              <w:t>1</w:t>
            </w:r>
            <w:r w:rsidRPr="00A41455">
              <w:rPr>
                <w:rFonts w:ascii="Palatino Linotype" w:hAnsi="Palatino Linotype"/>
                <w:noProof/>
                <w:webHidden/>
                <w:sz w:val="20"/>
                <w:szCs w:val="20"/>
              </w:rPr>
              <w:fldChar w:fldCharType="end"/>
            </w:r>
          </w:hyperlink>
        </w:p>
        <w:p w:rsidR="00AC462A" w:rsidRPr="00A41455" w:rsidRDefault="00E254BE" w:rsidP="00A41455">
          <w:pPr>
            <w:pStyle w:val="11"/>
            <w:tabs>
              <w:tab w:val="left" w:pos="403"/>
              <w:tab w:val="right" w:leader="dot" w:pos="9736"/>
            </w:tabs>
            <w:spacing w:after="0" w:line="240" w:lineRule="auto"/>
            <w:rPr>
              <w:rFonts w:ascii="Palatino Linotype" w:hAnsi="Palatino Linotype"/>
              <w:noProof/>
              <w:kern w:val="2"/>
              <w:sz w:val="20"/>
              <w:szCs w:val="20"/>
            </w:rPr>
          </w:pPr>
          <w:hyperlink w:anchor="_Toc38967894" w:history="1">
            <w:r w:rsidR="00AC462A" w:rsidRPr="00A41455">
              <w:rPr>
                <w:rStyle w:val="aff2"/>
                <w:rFonts w:ascii="Palatino Linotype" w:hAnsi="Palatino Linotype" w:cs="Times New Roman"/>
                <w:noProof/>
                <w:color w:val="auto"/>
                <w:sz w:val="20"/>
                <w:szCs w:val="20"/>
              </w:rPr>
              <w:t>2.</w:t>
            </w:r>
            <w:r w:rsidR="00AC462A" w:rsidRPr="00A41455">
              <w:rPr>
                <w:rFonts w:ascii="Palatino Linotype" w:hAnsi="Palatino Linotype"/>
                <w:noProof/>
                <w:kern w:val="2"/>
                <w:sz w:val="20"/>
                <w:szCs w:val="20"/>
              </w:rPr>
              <w:tab/>
            </w:r>
            <w:r w:rsidR="00AC462A" w:rsidRPr="00A41455">
              <w:rPr>
                <w:rStyle w:val="aff2"/>
                <w:rFonts w:ascii="Palatino Linotype" w:hAnsi="Palatino Linotype" w:cs="Times New Roman"/>
                <w:noProof/>
                <w:color w:val="auto"/>
                <w:sz w:val="20"/>
                <w:szCs w:val="20"/>
              </w:rPr>
              <w:t>Thermodynamic analysis problem formulation</w:t>
            </w:r>
            <w:r w:rsidR="00AC462A" w:rsidRPr="00A41455">
              <w:rPr>
                <w:rFonts w:ascii="Palatino Linotype" w:hAnsi="Palatino Linotype"/>
                <w:noProof/>
                <w:webHidden/>
                <w:sz w:val="20"/>
                <w:szCs w:val="20"/>
              </w:rPr>
              <w:tab/>
            </w:r>
            <w:r w:rsidR="00AC462A" w:rsidRPr="00A41455">
              <w:rPr>
                <w:rFonts w:ascii="Palatino Linotype" w:hAnsi="Palatino Linotype"/>
                <w:noProof/>
                <w:webHidden/>
                <w:sz w:val="20"/>
                <w:szCs w:val="20"/>
              </w:rPr>
              <w:fldChar w:fldCharType="begin"/>
            </w:r>
            <w:r w:rsidR="00AC462A" w:rsidRPr="00A41455">
              <w:rPr>
                <w:rFonts w:ascii="Palatino Linotype" w:hAnsi="Palatino Linotype"/>
                <w:noProof/>
                <w:webHidden/>
                <w:sz w:val="20"/>
                <w:szCs w:val="20"/>
              </w:rPr>
              <w:instrText xml:space="preserve"> PAGEREF _Toc38967894 \h </w:instrText>
            </w:r>
            <w:r w:rsidR="00AC462A" w:rsidRPr="00A41455">
              <w:rPr>
                <w:rFonts w:ascii="Palatino Linotype" w:hAnsi="Palatino Linotype"/>
                <w:noProof/>
                <w:webHidden/>
                <w:sz w:val="20"/>
                <w:szCs w:val="20"/>
              </w:rPr>
            </w:r>
            <w:r w:rsidR="00AC462A" w:rsidRPr="00A41455">
              <w:rPr>
                <w:rFonts w:ascii="Palatino Linotype" w:hAnsi="Palatino Linotype"/>
                <w:noProof/>
                <w:webHidden/>
                <w:sz w:val="20"/>
                <w:szCs w:val="20"/>
              </w:rPr>
              <w:fldChar w:fldCharType="separate"/>
            </w:r>
            <w:r w:rsidR="00AC462A" w:rsidRPr="00A41455">
              <w:rPr>
                <w:rFonts w:ascii="Palatino Linotype" w:hAnsi="Palatino Linotype"/>
                <w:noProof/>
                <w:webHidden/>
                <w:sz w:val="20"/>
                <w:szCs w:val="20"/>
              </w:rPr>
              <w:t>2</w:t>
            </w:r>
            <w:r w:rsidR="00AC462A" w:rsidRPr="00A41455">
              <w:rPr>
                <w:rFonts w:ascii="Palatino Linotype" w:hAnsi="Palatino Linotype"/>
                <w:noProof/>
                <w:webHidden/>
                <w:sz w:val="20"/>
                <w:szCs w:val="20"/>
              </w:rPr>
              <w:fldChar w:fldCharType="end"/>
            </w:r>
          </w:hyperlink>
        </w:p>
        <w:p w:rsidR="00AC462A" w:rsidRPr="00A41455" w:rsidRDefault="00E254BE" w:rsidP="00A41455">
          <w:pPr>
            <w:pStyle w:val="11"/>
            <w:tabs>
              <w:tab w:val="left" w:pos="403"/>
              <w:tab w:val="right" w:leader="dot" w:pos="9736"/>
            </w:tabs>
            <w:spacing w:after="0" w:line="240" w:lineRule="auto"/>
            <w:rPr>
              <w:rFonts w:ascii="Palatino Linotype" w:hAnsi="Palatino Linotype"/>
              <w:noProof/>
              <w:kern w:val="2"/>
              <w:sz w:val="20"/>
              <w:szCs w:val="20"/>
            </w:rPr>
          </w:pPr>
          <w:hyperlink w:anchor="_Toc38967895" w:history="1">
            <w:r w:rsidR="00AC462A" w:rsidRPr="00A41455">
              <w:rPr>
                <w:rStyle w:val="aff2"/>
                <w:rFonts w:ascii="Palatino Linotype" w:hAnsi="Palatino Linotype" w:cs="Times New Roman"/>
                <w:noProof/>
                <w:color w:val="auto"/>
                <w:sz w:val="20"/>
                <w:szCs w:val="20"/>
              </w:rPr>
              <w:t>3.</w:t>
            </w:r>
            <w:r w:rsidR="00AC462A" w:rsidRPr="00A41455">
              <w:rPr>
                <w:rFonts w:ascii="Palatino Linotype" w:hAnsi="Palatino Linotype"/>
                <w:noProof/>
                <w:kern w:val="2"/>
                <w:sz w:val="20"/>
                <w:szCs w:val="20"/>
              </w:rPr>
              <w:tab/>
            </w:r>
            <w:r w:rsidR="00AC462A" w:rsidRPr="00A41455">
              <w:rPr>
                <w:rStyle w:val="aff2"/>
                <w:rFonts w:ascii="Palatino Linotype" w:hAnsi="Palatino Linotype" w:cs="Times New Roman"/>
                <w:noProof/>
                <w:color w:val="auto"/>
                <w:sz w:val="20"/>
                <w:szCs w:val="20"/>
              </w:rPr>
              <w:t>Objective functions:</w:t>
            </w:r>
            <w:r w:rsidR="00AC462A" w:rsidRPr="00A41455">
              <w:rPr>
                <w:rFonts w:ascii="Palatino Linotype" w:hAnsi="Palatino Linotype"/>
                <w:noProof/>
                <w:webHidden/>
                <w:sz w:val="20"/>
                <w:szCs w:val="20"/>
              </w:rPr>
              <w:tab/>
            </w:r>
            <w:r w:rsidR="00AC462A" w:rsidRPr="00A41455">
              <w:rPr>
                <w:rFonts w:ascii="Palatino Linotype" w:hAnsi="Palatino Linotype"/>
                <w:noProof/>
                <w:webHidden/>
                <w:sz w:val="20"/>
                <w:szCs w:val="20"/>
              </w:rPr>
              <w:fldChar w:fldCharType="begin"/>
            </w:r>
            <w:r w:rsidR="00AC462A" w:rsidRPr="00A41455">
              <w:rPr>
                <w:rFonts w:ascii="Palatino Linotype" w:hAnsi="Palatino Linotype"/>
                <w:noProof/>
                <w:webHidden/>
                <w:sz w:val="20"/>
                <w:szCs w:val="20"/>
              </w:rPr>
              <w:instrText xml:space="preserve"> PAGEREF _Toc38967895 \h </w:instrText>
            </w:r>
            <w:r w:rsidR="00AC462A" w:rsidRPr="00A41455">
              <w:rPr>
                <w:rFonts w:ascii="Palatino Linotype" w:hAnsi="Palatino Linotype"/>
                <w:noProof/>
                <w:webHidden/>
                <w:sz w:val="20"/>
                <w:szCs w:val="20"/>
              </w:rPr>
            </w:r>
            <w:r w:rsidR="00AC462A" w:rsidRPr="00A41455">
              <w:rPr>
                <w:rFonts w:ascii="Palatino Linotype" w:hAnsi="Palatino Linotype"/>
                <w:noProof/>
                <w:webHidden/>
                <w:sz w:val="20"/>
                <w:szCs w:val="20"/>
              </w:rPr>
              <w:fldChar w:fldCharType="separate"/>
            </w:r>
            <w:r w:rsidR="00AC462A" w:rsidRPr="00A41455">
              <w:rPr>
                <w:rFonts w:ascii="Palatino Linotype" w:hAnsi="Palatino Linotype"/>
                <w:noProof/>
                <w:webHidden/>
                <w:sz w:val="20"/>
                <w:szCs w:val="20"/>
              </w:rPr>
              <w:t>6</w:t>
            </w:r>
            <w:r w:rsidR="00AC462A" w:rsidRPr="00A41455">
              <w:rPr>
                <w:rFonts w:ascii="Palatino Linotype" w:hAnsi="Palatino Linotype"/>
                <w:noProof/>
                <w:webHidden/>
                <w:sz w:val="20"/>
                <w:szCs w:val="20"/>
              </w:rPr>
              <w:fldChar w:fldCharType="end"/>
            </w:r>
          </w:hyperlink>
        </w:p>
        <w:p w:rsidR="00AC462A" w:rsidRDefault="00AC462A" w:rsidP="00A41455">
          <w:pPr>
            <w:spacing w:after="0" w:line="240" w:lineRule="auto"/>
          </w:pPr>
          <w:r w:rsidRPr="00A41455">
            <w:rPr>
              <w:rFonts w:ascii="Palatino Linotype" w:hAnsi="Palatino Linotype"/>
              <w:b/>
              <w:bCs/>
              <w:i/>
              <w:sz w:val="20"/>
              <w:szCs w:val="20"/>
              <w:lang w:val="zh-CN"/>
            </w:rPr>
            <w:fldChar w:fldCharType="end"/>
          </w:r>
        </w:p>
      </w:sdtContent>
    </w:sdt>
    <w:p w:rsidR="00AC462A" w:rsidRDefault="00AC462A"/>
    <w:p w:rsidR="008E6C43" w:rsidRPr="00A53157" w:rsidRDefault="008E6C43" w:rsidP="00A53157">
      <w:pPr>
        <w:pStyle w:val="1"/>
        <w:numPr>
          <w:ilvl w:val="0"/>
          <w:numId w:val="32"/>
        </w:numPr>
        <w:spacing w:before="0" w:after="120" w:line="240" w:lineRule="atLeast"/>
        <w:ind w:left="0" w:firstLine="0"/>
        <w:rPr>
          <w:rFonts w:ascii="Palatino Linotype" w:hAnsi="Palatino Linotype" w:cs="Times New Roman"/>
          <w:color w:val="auto"/>
          <w:sz w:val="20"/>
          <w:szCs w:val="20"/>
        </w:rPr>
      </w:pPr>
      <w:bookmarkStart w:id="1" w:name="_Toc38967805"/>
      <w:bookmarkStart w:id="2" w:name="_Toc38967893"/>
      <w:r w:rsidRPr="00A53157">
        <w:rPr>
          <w:rFonts w:ascii="Palatino Linotype" w:hAnsi="Palatino Linotype" w:cs="Times New Roman"/>
          <w:color w:val="auto"/>
          <w:sz w:val="20"/>
          <w:szCs w:val="20"/>
        </w:rPr>
        <w:t>DFBA problem formulation</w:t>
      </w:r>
      <w:bookmarkEnd w:id="0"/>
      <w:bookmarkEnd w:id="1"/>
      <w:bookmarkEnd w:id="2"/>
    </w:p>
    <w:p w:rsidR="008E6C43" w:rsidRPr="00A53157" w:rsidRDefault="008E6C43" w:rsidP="00A53157">
      <w:p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FBA/DFBA uses linear programming (LP) to estimate flux distributions. The LP problem is formulated as described below. </w:t>
      </w:r>
    </w:p>
    <w:tbl>
      <w:tblPr>
        <w:tblStyle w:val="af3"/>
        <w:tblW w:w="0" w:type="auto"/>
        <w:tblLook w:val="04A0" w:firstRow="1" w:lastRow="0" w:firstColumn="1" w:lastColumn="0" w:noHBand="0" w:noVBand="1"/>
      </w:tblPr>
      <w:tblGrid>
        <w:gridCol w:w="9039"/>
        <w:gridCol w:w="923"/>
      </w:tblGrid>
      <w:tr w:rsidR="008E6C43" w:rsidRPr="00A53157" w:rsidTr="00E10730">
        <w:tc>
          <w:tcPr>
            <w:tcW w:w="9039" w:type="dxa"/>
            <w:tcBorders>
              <w:top w:val="nil"/>
              <w:left w:val="nil"/>
              <w:bottom w:val="single" w:sz="4" w:space="0" w:color="auto"/>
              <w:right w:val="nil"/>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Max(</w:t>
            </w:r>
            <w:r w:rsidRPr="00A53157">
              <w:rPr>
                <w:rFonts w:ascii="Palatino Linotype" w:eastAsiaTheme="majorEastAsia" w:hAnsi="Palatino Linotype" w:cs="Times New Roman"/>
                <w:b/>
                <w:bCs/>
                <w:noProof/>
                <w:sz w:val="20"/>
                <w:szCs w:val="20"/>
              </w:rPr>
              <w:t>obj</w:t>
            </w:r>
            <w:r w:rsidRPr="00A53157">
              <w:rPr>
                <w:rFonts w:ascii="Palatino Linotype" w:eastAsiaTheme="majorEastAsia" w:hAnsi="Palatino Linotype" w:cs="Times New Roman"/>
                <w:bCs/>
                <w:noProof/>
                <w:sz w:val="20"/>
                <w:szCs w:val="20"/>
              </w:rPr>
              <w:t>)</w:t>
            </w:r>
          </w:p>
        </w:tc>
        <w:tc>
          <w:tcPr>
            <w:tcW w:w="923" w:type="dxa"/>
            <w:tcBorders>
              <w:top w:val="nil"/>
              <w:left w:val="nil"/>
              <w:bottom w:val="single" w:sz="4" w:space="0" w:color="auto"/>
              <w:right w:val="nil"/>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tr w:rsidR="008E6C43" w:rsidRPr="00A53157" w:rsidTr="00E10730">
        <w:tc>
          <w:tcPr>
            <w:tcW w:w="9962" w:type="dxa"/>
            <w:gridSpan w:val="2"/>
            <w:tcBorders>
              <w:top w:val="single" w:sz="4" w:space="0" w:color="auto"/>
              <w:bottom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 xml:space="preserve">: </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 xml:space="preserve">The objective function, </w:t>
            </w:r>
            <w:r w:rsidRPr="00A53157">
              <w:rPr>
                <w:rFonts w:ascii="Palatino Linotype" w:eastAsiaTheme="majorEastAsia" w:hAnsi="Palatino Linotype" w:cs="Times New Roman"/>
                <w:b/>
                <w:bCs/>
                <w:noProof/>
                <w:sz w:val="20"/>
                <w:szCs w:val="20"/>
              </w:rPr>
              <w:t>obj</w:t>
            </w:r>
            <w:r w:rsidRPr="00A53157">
              <w:rPr>
                <w:rFonts w:ascii="Palatino Linotype" w:eastAsiaTheme="majorEastAsia" w:hAnsi="Palatino Linotype" w:cs="Times New Roman"/>
                <w:bCs/>
                <w:noProof/>
                <w:sz w:val="20"/>
                <w:szCs w:val="20"/>
              </w:rPr>
              <w:t>, is the core for all constraint-based models. An appropriate objective function was chosen to probe the aspects of cell physiology and metabolic capacities of interests. It can be either linear or non-linear, taking the form of a single variable or penalty function</w:t>
            </w:r>
            <w:r w:rsidR="00270132" w:rsidRPr="00A53157">
              <w:rPr>
                <w:rFonts w:ascii="Palatino Linotype" w:eastAsiaTheme="majorEastAsia" w:hAnsi="Palatino Linotype" w:cs="Times New Roman"/>
                <w:bCs/>
                <w:noProof/>
                <w:sz w:val="20"/>
                <w:szCs w:val="20"/>
              </w:rPr>
              <w:t>.</w:t>
            </w:r>
          </w:p>
          <w:p w:rsidR="00270132"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To generate the flux inputs for the thermodynamic analysis, the objective function of ‘Minimising all fluxes’ was used.</w:t>
            </w:r>
            <w:r w:rsidR="00270132" w:rsidRPr="00A53157">
              <w:rPr>
                <w:rFonts w:ascii="Palatino Linotype" w:eastAsiaTheme="majorEastAsia" w:hAnsi="Palatino Linotype" w:cs="Times New Roman"/>
                <w:bCs/>
                <w:noProof/>
                <w:sz w:val="20"/>
                <w:szCs w:val="20"/>
              </w:rPr>
              <w:t xml:space="preserve"> </w:t>
            </w:r>
          </w:p>
          <w:p w:rsidR="00BB4607" w:rsidRPr="00A53157" w:rsidRDefault="00BB4607"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p>
        </w:tc>
      </w:tr>
      <w:tr w:rsidR="008E6C43" w:rsidRPr="00A53157" w:rsidTr="00E10730">
        <w:tc>
          <w:tcPr>
            <w:tcW w:w="9962" w:type="dxa"/>
            <w:gridSpan w:val="2"/>
            <w:tcBorders>
              <w:top w:val="single" w:sz="4" w:space="0" w:color="auto"/>
              <w:left w:val="nil"/>
              <w:bottom w:val="nil"/>
              <w:right w:val="nil"/>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subject to</w:t>
            </w:r>
          </w:p>
        </w:tc>
      </w:tr>
      <w:tr w:rsidR="008E6C43" w:rsidRPr="00A53157" w:rsidTr="00B421E0">
        <w:tc>
          <w:tcPr>
            <w:tcW w:w="9039" w:type="dxa"/>
            <w:tcBorders>
              <w:top w:val="nil"/>
              <w:left w:val="nil"/>
              <w:bottom w:val="single" w:sz="4" w:space="0" w:color="auto"/>
              <w:right w:val="nil"/>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bookmarkStart w:id="3" w:name="OLE_LINK508"/>
            <w:bookmarkStart w:id="4" w:name="OLE_LINK509"/>
            <m:oMathPara>
              <m:oMathParaPr>
                <m:jc m:val="left"/>
              </m:oMathParaPr>
              <m:oMath>
                <m:r>
                  <w:rPr>
                    <w:rFonts w:ascii="Cambria Math" w:eastAsiaTheme="majorEastAsia" w:hAnsi="Cambria Math" w:cs="Times New Roman"/>
                    <w:noProof/>
                    <w:sz w:val="20"/>
                    <w:szCs w:val="20"/>
                  </w:rPr>
                  <m:t>S∙v=0</m:t>
                </m:r>
              </m:oMath>
            </m:oMathPara>
            <w:bookmarkStart w:id="5" w:name="_GoBack"/>
            <w:bookmarkEnd w:id="3"/>
            <w:bookmarkEnd w:id="4"/>
            <w:bookmarkEnd w:id="5"/>
          </w:p>
        </w:tc>
        <w:tc>
          <w:tcPr>
            <w:tcW w:w="923" w:type="dxa"/>
            <w:tcBorders>
              <w:top w:val="nil"/>
              <w:left w:val="nil"/>
              <w:bottom w:val="nil"/>
              <w:right w:val="nil"/>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(1)</w:t>
            </w:r>
          </w:p>
        </w:tc>
      </w:tr>
      <w:tr w:rsidR="008E6C43" w:rsidRPr="00A53157" w:rsidTr="00E10730">
        <w:tc>
          <w:tcPr>
            <w:tcW w:w="9962" w:type="dxa"/>
            <w:gridSpan w:val="2"/>
            <w:tcBorders>
              <w:bottom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 xml:space="preserve">: </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The stoichiometric constraint is the foundational constraint of stoichiometric models</w:t>
            </w:r>
            <w:r w:rsidR="0070637D" w:rsidRPr="00A53157">
              <w:rPr>
                <w:rFonts w:ascii="Palatino Linotype" w:eastAsiaTheme="majorEastAsia" w:hAnsi="Palatino Linotype" w:cs="Times New Roman"/>
                <w:bCs/>
                <w:noProof/>
                <w:sz w:val="20"/>
                <w:szCs w:val="20"/>
              </w:rPr>
              <w:t>.</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tr w:rsidR="008E6C43" w:rsidRPr="00A53157" w:rsidTr="00B421E0">
        <w:tc>
          <w:tcPr>
            <w:tcW w:w="9039" w:type="dxa"/>
            <w:tcBorders>
              <w:top w:val="single" w:sz="4" w:space="0" w:color="auto"/>
              <w:left w:val="nil"/>
              <w:bottom w:val="single" w:sz="4" w:space="0" w:color="auto"/>
              <w:right w:val="nil"/>
            </w:tcBorders>
          </w:tcPr>
          <w:p w:rsidR="008E6C43" w:rsidRPr="00A53157" w:rsidRDefault="00E254BE"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m:oMathPara>
              <m:oMathParaPr>
                <m:jc m:val="left"/>
              </m:oMathParaPr>
              <m:oMath>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min,int</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int</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max,int</m:t>
                    </m:r>
                  </m:sub>
                </m:sSub>
              </m:oMath>
            </m:oMathPara>
          </w:p>
        </w:tc>
        <w:tc>
          <w:tcPr>
            <w:tcW w:w="923" w:type="dxa"/>
            <w:tcBorders>
              <w:top w:val="single" w:sz="4" w:space="0" w:color="auto"/>
              <w:left w:val="nil"/>
              <w:bottom w:val="single" w:sz="4" w:space="0" w:color="auto"/>
              <w:right w:val="nil"/>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bookmarkStart w:id="6" w:name="OLE_LINK227"/>
            <w:r w:rsidRPr="00A53157">
              <w:rPr>
                <w:rFonts w:ascii="Palatino Linotype" w:eastAsiaTheme="majorEastAsia" w:hAnsi="Palatino Linotype" w:cs="Times New Roman"/>
                <w:bCs/>
                <w:noProof/>
                <w:sz w:val="20"/>
                <w:szCs w:val="20"/>
              </w:rPr>
              <w:t>(2)</w:t>
            </w:r>
            <w:bookmarkEnd w:id="6"/>
          </w:p>
        </w:tc>
      </w:tr>
      <w:tr w:rsidR="008E6C43" w:rsidRPr="00A53157" w:rsidTr="00E10730">
        <w:tc>
          <w:tcPr>
            <w:tcW w:w="9962" w:type="dxa"/>
            <w:gridSpan w:val="2"/>
            <w:tcBorders>
              <w:top w:val="single" w:sz="4" w:space="0" w:color="auto"/>
              <w:bottom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 xml:space="preserve">: </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 xml:space="preserve">For DFBA, the upper bounds for unknown intracellular metabolic fluxes </w:t>
            </w:r>
            <w:bookmarkStart w:id="7" w:name="OLE_LINK175"/>
            <w:bookmarkStart w:id="8" w:name="OLE_LINK191"/>
            <w:r w:rsidRPr="00A53157">
              <w:rPr>
                <w:rFonts w:ascii="Palatino Linotype" w:eastAsiaTheme="majorEastAsia" w:hAnsi="Palatino Linotype" w:cs="Times New Roman"/>
                <w:b/>
                <w:bCs/>
                <w:noProof/>
                <w:sz w:val="20"/>
                <w:szCs w:val="20"/>
              </w:rPr>
              <w:t>v</w:t>
            </w:r>
            <w:r w:rsidRPr="00A53157">
              <w:rPr>
                <w:rFonts w:ascii="Palatino Linotype" w:eastAsiaTheme="majorEastAsia" w:hAnsi="Palatino Linotype" w:cs="Times New Roman"/>
                <w:b/>
                <w:bCs/>
                <w:noProof/>
                <w:sz w:val="20"/>
                <w:szCs w:val="20"/>
                <w:vertAlign w:val="subscript"/>
              </w:rPr>
              <w:t>max</w:t>
            </w:r>
            <w:bookmarkEnd w:id="7"/>
            <w:bookmarkEnd w:id="8"/>
            <w:r w:rsidRPr="00A53157">
              <w:rPr>
                <w:rFonts w:ascii="Palatino Linotype" w:eastAsiaTheme="majorEastAsia" w:hAnsi="Palatino Linotype" w:cs="Times New Roman"/>
                <w:b/>
                <w:bCs/>
                <w:noProof/>
                <w:sz w:val="20"/>
                <w:szCs w:val="20"/>
                <w:vertAlign w:val="subscript"/>
              </w:rPr>
              <w:t>,int</w:t>
            </w:r>
            <w:r w:rsidRPr="00A53157">
              <w:rPr>
                <w:rFonts w:ascii="Palatino Linotype" w:eastAsiaTheme="majorEastAsia" w:hAnsi="Palatino Linotype" w:cs="Times New Roman"/>
                <w:bCs/>
                <w:noProof/>
                <w:sz w:val="20"/>
                <w:szCs w:val="20"/>
              </w:rPr>
              <w:t xml:space="preserve"> were set to 30 mmol/(gDCW·h) </w:t>
            </w:r>
            <w:r w:rsidRPr="00A53157">
              <w:rPr>
                <w:rFonts w:ascii="Palatino Linotype" w:eastAsiaTheme="majorEastAsia" w:hAnsi="Palatino Linotype" w:cs="Times New Roman"/>
                <w:bCs/>
                <w:i/>
                <w:noProof/>
                <w:sz w:val="20"/>
                <w:szCs w:val="20"/>
              </w:rPr>
              <w:fldChar w:fldCharType="begin" w:fldLock="1"/>
            </w:r>
            <w:r w:rsidR="005F49D2">
              <w:rPr>
                <w:rFonts w:ascii="Palatino Linotype" w:eastAsiaTheme="majorEastAsia" w:hAnsi="Palatino Linotype" w:cs="Times New Roman"/>
                <w:bCs/>
                <w:noProof/>
                <w:sz w:val="20"/>
                <w:szCs w:val="20"/>
              </w:rPr>
              <w:instrText>ADDIN CSL_CITATION {"citationItems":[{"id":"ITEM-1","itemData":{"DOI":"10.1016/j.bej.2015.09.026","ISBN":"4416130643","ISSN":"1873295X","abstract":"Thermodynamically constrained stoichiometric-based models have been widely used for the estimation of feasible flux distributions of a metabolic network. The prediction of a zero net flux through a reaction indicates that this reaction is either blocked (the enzyme is absent) or at equilibrium (the enzyme is present but the Gibbs free energy change of the reaction is zero). The estimation of the thermodynamic equilibrium of a reaction requires the exact knowledge of environmental conditions and metabolites' concentrations. This information, however, is not always available. Here, the effect of considering that a reaction is at equilibrium instead of being blocked on the metabolic flux distribution is analysed. The central carbon metabolism of Actinobacillus succinogenes for the production of succinic acid from glycerol has been used as case study, based on results from experiments in 1.8. L batch bioreactors. The impact of changes in ionic strength (I), temperature (T), intracellular pH. c and medium pH. e was also investigated, revealing that only I and T affect the prediction of flux distributions compared with those obtained at standard biological conditions when zero flux reactions are considered either as blocked or at equilibrium. In general, the range of fluxes estimated for the equilibrium case is narrower than that for the blocked case.","author":[{"dropping-particle":"","family":"Angeles-Martinez","given":"L.","non-dropping-particle":"","parse-names":false,"suffix":""},{"dropping-particle":"","family":"Theodoropoulos","given":"C.","non-dropping-particle":"","parse-names":false,"suffix":""}],"container-title":"Biochemical Engineering Journal","id":"ITEM-1","issued":{"date-parts":[["2016"]]},"page":"347-357","publisher":"Elsevier B.V.","title":"Estimation of flux distribution in metabolic networks accounting for thermodynamic constraints: The effect of equilibrium vs. blocked reactions","type":"article-journal","volume":"105"},"uris":["http://www.mendeley.com/documents/?uuid=62fbe139-bc20-4a70-8704-d43404eda365"]}],"mendeley":{"formattedCitation":"[1]","plainTextFormattedCitation":"[1]","previouslyFormattedCitation":"[1]"},"properties":{"noteIndex":0},"schema":"https://github.com/citation-style-language/schema/raw/master/csl-citation.json"}</w:instrText>
            </w:r>
            <w:r w:rsidRPr="00A53157">
              <w:rPr>
                <w:rFonts w:ascii="Palatino Linotype" w:eastAsiaTheme="majorEastAsia" w:hAnsi="Palatino Linotype" w:cs="Times New Roman"/>
                <w:bCs/>
                <w:i/>
                <w:noProof/>
                <w:sz w:val="20"/>
                <w:szCs w:val="20"/>
              </w:rPr>
              <w:fldChar w:fldCharType="separate"/>
            </w:r>
            <w:r w:rsidR="005F49D2" w:rsidRPr="005F49D2">
              <w:rPr>
                <w:rFonts w:ascii="Palatino Linotype" w:eastAsiaTheme="majorEastAsia" w:hAnsi="Palatino Linotype" w:cs="Times New Roman"/>
                <w:bCs/>
                <w:noProof/>
                <w:sz w:val="20"/>
                <w:szCs w:val="20"/>
              </w:rPr>
              <w:t>[1]</w:t>
            </w:r>
            <w:r w:rsidRPr="00A53157">
              <w:rPr>
                <w:rFonts w:ascii="Palatino Linotype" w:eastAsiaTheme="majorEastAsia" w:hAnsi="Palatino Linotype" w:cs="Times New Roman"/>
                <w:bCs/>
                <w:i/>
                <w:noProof/>
                <w:sz w:val="20"/>
                <w:szCs w:val="20"/>
              </w:rPr>
              <w:fldChar w:fldCharType="end"/>
            </w:r>
            <w:r w:rsidRPr="00A53157">
              <w:rPr>
                <w:rFonts w:ascii="Palatino Linotype" w:eastAsiaTheme="majorEastAsia" w:hAnsi="Palatino Linotype" w:cs="Times New Roman"/>
                <w:bCs/>
                <w:noProof/>
                <w:sz w:val="20"/>
                <w:szCs w:val="20"/>
              </w:rPr>
              <w:t xml:space="preserve">, with the exception of ATP hydrolysis, which was given a higher upper bound (100 </w:t>
            </w:r>
            <w:bookmarkStart w:id="9" w:name="OLE_LINK364"/>
            <w:bookmarkStart w:id="10" w:name="OLE_LINK372"/>
            <w:r w:rsidRPr="00A53157">
              <w:rPr>
                <w:rFonts w:ascii="Palatino Linotype" w:eastAsiaTheme="majorEastAsia" w:hAnsi="Palatino Linotype" w:cs="Times New Roman"/>
                <w:bCs/>
                <w:noProof/>
                <w:sz w:val="20"/>
                <w:szCs w:val="20"/>
              </w:rPr>
              <w:t>mmol/(gDCW·h)</w:t>
            </w:r>
            <w:bookmarkEnd w:id="9"/>
            <w:bookmarkEnd w:id="10"/>
            <w:r w:rsidRPr="00A53157">
              <w:rPr>
                <w:rFonts w:ascii="Palatino Linotype" w:eastAsiaTheme="majorEastAsia" w:hAnsi="Palatino Linotype" w:cs="Times New Roman"/>
                <w:bCs/>
                <w:noProof/>
                <w:sz w:val="20"/>
                <w:szCs w:val="20"/>
              </w:rPr>
              <w:t xml:space="preserve">). Meanwhile, all the lower bounds </w:t>
            </w:r>
            <w:r w:rsidRPr="00A53157">
              <w:rPr>
                <w:rFonts w:ascii="Palatino Linotype" w:eastAsiaTheme="majorEastAsia" w:hAnsi="Palatino Linotype" w:cs="Times New Roman"/>
                <w:b/>
                <w:bCs/>
                <w:noProof/>
                <w:sz w:val="20"/>
                <w:szCs w:val="20"/>
              </w:rPr>
              <w:t>v</w:t>
            </w:r>
            <w:r w:rsidRPr="00A53157">
              <w:rPr>
                <w:rFonts w:ascii="Palatino Linotype" w:eastAsiaTheme="majorEastAsia" w:hAnsi="Palatino Linotype" w:cs="Times New Roman"/>
                <w:b/>
                <w:bCs/>
                <w:noProof/>
                <w:sz w:val="20"/>
                <w:szCs w:val="20"/>
                <w:vertAlign w:val="subscript"/>
              </w:rPr>
              <w:t>min,int</w:t>
            </w:r>
            <w:r w:rsidRPr="00A53157">
              <w:rPr>
                <w:rFonts w:ascii="Palatino Linotype" w:eastAsiaTheme="majorEastAsia" w:hAnsi="Palatino Linotype" w:cs="Times New Roman"/>
                <w:bCs/>
                <w:noProof/>
                <w:sz w:val="20"/>
                <w:szCs w:val="20"/>
              </w:rPr>
              <w:t xml:space="preserve"> were set to 0 mmol/(gDCW·h). </w:t>
            </w:r>
          </w:p>
          <w:p w:rsidR="00BB4607" w:rsidRPr="00A53157" w:rsidRDefault="00BB4607"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bookmarkStart w:id="11" w:name="OLE_LINK19"/>
      <w:bookmarkStart w:id="12" w:name="OLE_LINK20"/>
      <w:tr w:rsidR="008E6C43" w:rsidRPr="00A53157" w:rsidTr="00B421E0">
        <w:tc>
          <w:tcPr>
            <w:tcW w:w="9039" w:type="dxa"/>
            <w:tcBorders>
              <w:top w:val="single" w:sz="4" w:space="0" w:color="auto"/>
              <w:left w:val="nil"/>
              <w:bottom w:val="single" w:sz="4" w:space="0" w:color="auto"/>
              <w:right w:val="nil"/>
            </w:tcBorders>
            <w:vAlign w:val="bottom"/>
          </w:tcPr>
          <w:p w:rsidR="008E6C43" w:rsidRPr="00A53157" w:rsidRDefault="00E254BE" w:rsidP="00A53157">
            <w:pPr>
              <w:tabs>
                <w:tab w:val="left" w:pos="2100"/>
              </w:tabs>
              <w:snapToGrid w:val="0"/>
              <w:spacing w:after="0" w:line="240" w:lineRule="atLeast"/>
              <w:jc w:val="both"/>
              <w:rPr>
                <w:rFonts w:ascii="Palatino Linotype" w:eastAsiaTheme="majorEastAsia" w:hAnsi="Palatino Linotype" w:cs="Times New Roman"/>
                <w:b/>
                <w:bCs/>
                <w:noProof/>
                <w:sz w:val="20"/>
                <w:szCs w:val="20"/>
              </w:rPr>
            </w:pPr>
            <m:oMathPara>
              <m:oMathParaPr>
                <m:jc m:val="left"/>
              </m:oMathParaPr>
              <m:oMath>
                <m:sSub>
                  <m:sSubPr>
                    <m:ctrlPr>
                      <w:rPr>
                        <w:rFonts w:ascii="Cambria Math" w:eastAsiaTheme="majorEastAsia" w:hAnsi="Cambria Math" w:cs="Times New Roman"/>
                        <w:bCs/>
                        <w:noProof/>
                        <w:sz w:val="20"/>
                        <w:szCs w:val="20"/>
                      </w:rPr>
                    </m:ctrlPr>
                  </m:sSubPr>
                  <m:e>
                    <m:acc>
                      <m:accPr>
                        <m:chr m:val="̅"/>
                        <m:ctrlPr>
                          <w:rPr>
                            <w:rFonts w:ascii="Cambria Math" w:eastAsiaTheme="majorEastAsia" w:hAnsi="Cambria Math" w:cs="Times New Roman"/>
                            <w:i/>
                            <w:noProof/>
                            <w:sz w:val="20"/>
                            <w:szCs w:val="20"/>
                          </w:rPr>
                        </m:ctrlPr>
                      </m:accPr>
                      <m:e>
                        <m:r>
                          <w:rPr>
                            <w:rFonts w:ascii="Cambria Math" w:eastAsiaTheme="majorEastAsia" w:hAnsi="Cambria Math" w:cs="Times New Roman"/>
                            <w:noProof/>
                            <w:sz w:val="20"/>
                            <w:szCs w:val="20"/>
                          </w:rPr>
                          <m:t>v</m:t>
                        </m:r>
                      </m:e>
                    </m:acc>
                  </m:e>
                  <m:sub>
                    <m:r>
                      <w:rPr>
                        <w:rFonts w:ascii="Cambria Math" w:eastAsiaTheme="majorEastAsia" w:hAnsi="Cambria Math" w:cs="Times New Roman"/>
                        <w:noProof/>
                        <w:sz w:val="20"/>
                        <w:szCs w:val="20"/>
                      </w:rPr>
                      <m:t>ext</m:t>
                    </m:r>
                  </m:sub>
                </m:sSub>
                <w:bookmarkEnd w:id="11"/>
                <w:bookmarkEnd w:id="12"/>
                <m:r>
                  <w:rPr>
                    <w:rFonts w:ascii="Cambria Math" w:eastAsiaTheme="majorEastAsia" w:hAnsi="Cambria Math" w:cs="Times New Roman"/>
                    <w:noProof/>
                    <w:sz w:val="20"/>
                    <w:szCs w:val="20"/>
                  </w:rPr>
                  <m:t>-δ</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ext</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ext</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acc>
                      <m:accPr>
                        <m:chr m:val="̅"/>
                        <m:ctrlPr>
                          <w:rPr>
                            <w:rFonts w:ascii="Cambria Math" w:eastAsiaTheme="majorEastAsia" w:hAnsi="Cambria Math" w:cs="Times New Roman"/>
                            <w:i/>
                            <w:noProof/>
                            <w:sz w:val="20"/>
                            <w:szCs w:val="20"/>
                          </w:rPr>
                        </m:ctrlPr>
                      </m:accPr>
                      <m:e>
                        <m:r>
                          <w:rPr>
                            <w:rFonts w:ascii="Cambria Math" w:eastAsiaTheme="majorEastAsia" w:hAnsi="Cambria Math" w:cs="Times New Roman"/>
                            <w:noProof/>
                            <w:sz w:val="20"/>
                            <w:szCs w:val="20"/>
                          </w:rPr>
                          <m:t>v</m:t>
                        </m:r>
                      </m:e>
                    </m:acc>
                  </m:e>
                  <m:sub>
                    <m:r>
                      <w:rPr>
                        <w:rFonts w:ascii="Cambria Math" w:eastAsiaTheme="majorEastAsia" w:hAnsi="Cambria Math" w:cs="Times New Roman"/>
                        <w:noProof/>
                        <w:sz w:val="20"/>
                        <w:szCs w:val="20"/>
                      </w:rPr>
                      <m:t>ext</m:t>
                    </m:r>
                  </m:sub>
                </m:sSub>
                <m:r>
                  <w:rPr>
                    <w:rFonts w:ascii="Cambria Math" w:eastAsiaTheme="majorEastAsia" w:hAnsi="Cambria Math" w:cs="Times New Roman"/>
                    <w:noProof/>
                    <w:sz w:val="20"/>
                    <w:szCs w:val="20"/>
                  </w:rPr>
                  <m:t>+δ</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ext</m:t>
                    </m:r>
                  </m:sub>
                </m:sSub>
              </m:oMath>
            </m:oMathPara>
          </w:p>
        </w:tc>
        <w:tc>
          <w:tcPr>
            <w:tcW w:w="923" w:type="dxa"/>
            <w:tcBorders>
              <w:top w:val="single" w:sz="4" w:space="0" w:color="auto"/>
              <w:left w:val="nil"/>
              <w:bottom w:val="single" w:sz="4" w:space="0" w:color="auto"/>
              <w:right w:val="nil"/>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
                <w:bCs/>
                <w:noProof/>
                <w:sz w:val="20"/>
                <w:szCs w:val="20"/>
              </w:rPr>
            </w:pPr>
            <w:r w:rsidRPr="00A53157">
              <w:rPr>
                <w:rFonts w:ascii="Palatino Linotype" w:eastAsiaTheme="majorEastAsia" w:hAnsi="Palatino Linotype" w:cs="Times New Roman"/>
                <w:bCs/>
                <w:noProof/>
                <w:sz w:val="20"/>
                <w:szCs w:val="20"/>
              </w:rPr>
              <w:t>(3)</w:t>
            </w:r>
          </w:p>
        </w:tc>
      </w:tr>
      <w:tr w:rsidR="008E6C43" w:rsidRPr="00A53157" w:rsidTr="00E10730">
        <w:tc>
          <w:tcPr>
            <w:tcW w:w="9962" w:type="dxa"/>
            <w:gridSpan w:val="2"/>
            <w:tcBorders>
              <w:top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 xml:space="preserve">: </w:t>
            </w:r>
          </w:p>
          <w:p w:rsidR="008E6C43" w:rsidRPr="00A53157" w:rsidRDefault="00E254BE"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m:oMath>
              <m:sSub>
                <m:sSubPr>
                  <m:ctrlPr>
                    <w:rPr>
                      <w:rFonts w:ascii="Cambria Math" w:eastAsiaTheme="majorEastAsia" w:hAnsi="Cambria Math" w:cs="Times New Roman"/>
                      <w:b/>
                      <w:bCs/>
                      <w:noProof/>
                      <w:sz w:val="20"/>
                      <w:szCs w:val="20"/>
                    </w:rPr>
                  </m:ctrlPr>
                </m:sSubPr>
                <m:e>
                  <m:acc>
                    <m:accPr>
                      <m:chr m:val="̅"/>
                      <m:ctrlPr>
                        <w:rPr>
                          <w:rFonts w:ascii="Cambria Math" w:eastAsiaTheme="majorEastAsia" w:hAnsi="Cambria Math" w:cs="Times New Roman"/>
                          <w:b/>
                          <w:i/>
                          <w:noProof/>
                          <w:sz w:val="20"/>
                          <w:szCs w:val="20"/>
                        </w:rPr>
                      </m:ctrlPr>
                    </m:accPr>
                    <m:e>
                      <m:r>
                        <m:rPr>
                          <m:sty m:val="bi"/>
                        </m:rPr>
                        <w:rPr>
                          <w:rFonts w:ascii="Cambria Math" w:eastAsiaTheme="majorEastAsia" w:hAnsi="Cambria Math" w:cs="Times New Roman"/>
                          <w:noProof/>
                          <w:sz w:val="20"/>
                          <w:szCs w:val="20"/>
                        </w:rPr>
                        <m:t>v</m:t>
                      </m:r>
                    </m:e>
                  </m:acc>
                </m:e>
                <m:sub>
                  <m:r>
                    <m:rPr>
                      <m:sty m:val="bi"/>
                    </m:rPr>
                    <w:rPr>
                      <w:rFonts w:ascii="Cambria Math" w:eastAsiaTheme="majorEastAsia" w:hAnsi="Cambria Math" w:cs="Times New Roman"/>
                      <w:noProof/>
                      <w:sz w:val="20"/>
                      <w:szCs w:val="20"/>
                    </w:rPr>
                    <m:t>ext</m:t>
                  </m:r>
                </m:sub>
              </m:sSub>
            </m:oMath>
            <w:r w:rsidR="008E6C43" w:rsidRPr="00A53157">
              <w:rPr>
                <w:rFonts w:ascii="Palatino Linotype" w:eastAsiaTheme="majorEastAsia" w:hAnsi="Palatino Linotype" w:cs="Times New Roman"/>
                <w:bCs/>
                <w:noProof/>
                <w:sz w:val="20"/>
                <w:szCs w:val="20"/>
              </w:rPr>
              <w:t xml:space="preserve"> represent the extracellular metabolic fluxes measured experimentally. The upper and lower bounds of extracellular fluxes were relaxed by their respective standard deviations </w:t>
            </w:r>
            <w:r w:rsidR="008E6C43" w:rsidRPr="00A53157">
              <w:rPr>
                <w:rFonts w:ascii="Palatino Linotype" w:eastAsiaTheme="majorEastAsia" w:hAnsi="Palatino Linotype" w:cs="Times New Roman"/>
                <w:b/>
                <w:bCs/>
                <w:noProof/>
                <w:sz w:val="20"/>
                <w:szCs w:val="20"/>
              </w:rPr>
              <w:t>δv</w:t>
            </w:r>
            <w:r w:rsidR="008E6C43" w:rsidRPr="00A53157">
              <w:rPr>
                <w:rFonts w:ascii="Palatino Linotype" w:eastAsiaTheme="majorEastAsia" w:hAnsi="Palatino Linotype" w:cs="Times New Roman"/>
                <w:b/>
                <w:bCs/>
                <w:noProof/>
                <w:sz w:val="20"/>
                <w:szCs w:val="20"/>
                <w:vertAlign w:val="subscript"/>
              </w:rPr>
              <w:t>ext</w:t>
            </w:r>
            <w:r w:rsidR="00BB4607" w:rsidRPr="00A53157">
              <w:rPr>
                <w:rFonts w:ascii="Palatino Linotype" w:eastAsiaTheme="majorEastAsia" w:hAnsi="Palatino Linotype" w:cs="Times New Roman"/>
                <w:bCs/>
                <w:noProof/>
                <w:sz w:val="20"/>
                <w:szCs w:val="20"/>
              </w:rPr>
              <w:t>.</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In this study, five extracellular fluxes were used: glycerol uptake, biomass production, malate excretion, acetate</w:t>
            </w:r>
            <w:r w:rsidR="00BB4607" w:rsidRPr="00A53157">
              <w:rPr>
                <w:rFonts w:ascii="Palatino Linotype" w:eastAsiaTheme="majorEastAsia" w:hAnsi="Palatino Linotype" w:cs="Times New Roman"/>
                <w:bCs/>
                <w:noProof/>
                <w:sz w:val="20"/>
                <w:szCs w:val="20"/>
              </w:rPr>
              <w:t xml:space="preserve"> excretion and PHB production.</w:t>
            </w:r>
          </w:p>
          <w:p w:rsidR="00BB4607" w:rsidRPr="00A53157" w:rsidRDefault="00BB4607"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tbl>
    <w:p w:rsidR="008E6C43" w:rsidRPr="00A53157" w:rsidRDefault="008E6C43" w:rsidP="00A53157">
      <w:p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The </w:t>
      </w:r>
      <w:r w:rsidRPr="00A53157">
        <w:rPr>
          <w:rFonts w:ascii="Palatino Linotype" w:eastAsiaTheme="majorEastAsia" w:hAnsi="Palatino Linotype" w:cs="Times New Roman"/>
          <w:b/>
          <w:bCs/>
          <w:noProof/>
          <w:sz w:val="20"/>
          <w:szCs w:val="20"/>
        </w:rPr>
        <w:t>final</w:t>
      </w:r>
      <w:r w:rsidRPr="00A53157">
        <w:rPr>
          <w:rFonts w:ascii="Palatino Linotype" w:eastAsiaTheme="majorEastAsia" w:hAnsi="Palatino Linotype" w:cs="Times New Roman"/>
          <w:bCs/>
          <w:noProof/>
          <w:sz w:val="20"/>
          <w:szCs w:val="20"/>
        </w:rPr>
        <w:t xml:space="preserve"> dimensions of the matrices and vectors involved in the calculation are summarised in the table below (Table </w:t>
      </w:r>
      <w:r w:rsidR="00BB4607" w:rsidRPr="00A53157">
        <w:rPr>
          <w:rFonts w:ascii="Palatino Linotype" w:eastAsiaTheme="majorEastAsia" w:hAnsi="Palatino Linotype" w:cs="Times New Roman"/>
          <w:bCs/>
          <w:noProof/>
          <w:sz w:val="20"/>
          <w:szCs w:val="20"/>
        </w:rPr>
        <w:t>1</w:t>
      </w:r>
      <w:r w:rsidRPr="00A53157">
        <w:rPr>
          <w:rFonts w:ascii="Palatino Linotype" w:eastAsiaTheme="majorEastAsia" w:hAnsi="Palatino Linotype" w:cs="Times New Roman"/>
          <w:bCs/>
          <w:noProof/>
          <w:sz w:val="20"/>
          <w:szCs w:val="20"/>
        </w:rPr>
        <w:t xml:space="preserve">). </w:t>
      </w:r>
      <w:r w:rsidR="005A7039" w:rsidRPr="00F453AB">
        <w:rPr>
          <w:rFonts w:ascii="Palatino Linotype" w:eastAsiaTheme="majorEastAsia" w:hAnsi="Palatino Linotype" w:cs="Times New Roman"/>
          <w:bCs/>
          <w:noProof/>
          <w:sz w:val="20"/>
          <w:szCs w:val="20"/>
          <w:u w:val="single"/>
        </w:rPr>
        <w:t>‘</w:t>
      </w:r>
      <w:r w:rsidR="005A7039" w:rsidRPr="00F453AB">
        <w:rPr>
          <w:rFonts w:ascii="Palatino Linotype" w:hAnsi="Palatino Linotype" w:cs="Times New Roman"/>
          <w:b/>
          <w:i/>
          <w:sz w:val="20"/>
          <w:szCs w:val="20"/>
          <w:u w:val="single"/>
        </w:rPr>
        <w:t>m</w:t>
      </w:r>
      <w:r w:rsidR="005A7039" w:rsidRPr="00F453AB">
        <w:rPr>
          <w:rFonts w:ascii="Palatino Linotype" w:hAnsi="Palatino Linotype" w:cs="Times New Roman"/>
          <w:i/>
          <w:sz w:val="20"/>
          <w:szCs w:val="20"/>
          <w:u w:val="single"/>
        </w:rPr>
        <w:t>’</w:t>
      </w:r>
      <w:r w:rsidR="005A7039" w:rsidRPr="00F453AB">
        <w:rPr>
          <w:rFonts w:ascii="Palatino Linotype" w:hAnsi="Palatino Linotype" w:cs="Times New Roman"/>
          <w:sz w:val="20"/>
          <w:szCs w:val="20"/>
          <w:u w:val="single"/>
        </w:rPr>
        <w:t xml:space="preserve"> is the number of metabolites</w:t>
      </w:r>
      <w:r w:rsidR="005A7039" w:rsidRPr="00F453AB">
        <w:rPr>
          <w:rFonts w:ascii="Palatino Linotype" w:hAnsi="Palatino Linotype" w:cs="Times New Roman"/>
          <w:sz w:val="20"/>
          <w:szCs w:val="20"/>
          <w:u w:val="single"/>
        </w:rPr>
        <w:t>, which equals 49;</w:t>
      </w:r>
      <w:r w:rsidR="005A7039" w:rsidRPr="00F453AB">
        <w:rPr>
          <w:rFonts w:ascii="Palatino Linotype" w:hAnsi="Palatino Linotype" w:cs="Times New Roman"/>
          <w:sz w:val="20"/>
          <w:szCs w:val="20"/>
          <w:u w:val="single"/>
        </w:rPr>
        <w:t xml:space="preserve"> </w:t>
      </w:r>
      <w:r w:rsidR="005A7039" w:rsidRPr="00F453AB">
        <w:rPr>
          <w:rFonts w:ascii="Palatino Linotype" w:hAnsi="Palatino Linotype" w:cs="Times New Roman"/>
          <w:sz w:val="20"/>
          <w:szCs w:val="20"/>
          <w:u w:val="single"/>
        </w:rPr>
        <w:t>‘</w:t>
      </w:r>
      <w:r w:rsidR="005A7039" w:rsidRPr="00F453AB">
        <w:rPr>
          <w:rFonts w:ascii="Palatino Linotype" w:hAnsi="Palatino Linotype" w:cs="Times New Roman"/>
          <w:b/>
          <w:i/>
          <w:sz w:val="20"/>
          <w:szCs w:val="20"/>
          <w:u w:val="single"/>
        </w:rPr>
        <w:t>n</w:t>
      </w:r>
      <w:r w:rsidR="005A7039" w:rsidRPr="00F453AB">
        <w:rPr>
          <w:rFonts w:ascii="Palatino Linotype" w:hAnsi="Palatino Linotype" w:cs="Times New Roman"/>
          <w:i/>
          <w:sz w:val="20"/>
          <w:szCs w:val="20"/>
          <w:u w:val="single"/>
        </w:rPr>
        <w:t>’</w:t>
      </w:r>
      <w:r w:rsidR="005A7039" w:rsidRPr="00F453AB">
        <w:rPr>
          <w:rFonts w:ascii="Palatino Linotype" w:hAnsi="Palatino Linotype" w:cs="Times New Roman"/>
          <w:sz w:val="20"/>
          <w:szCs w:val="20"/>
          <w:u w:val="single"/>
        </w:rPr>
        <w:t xml:space="preserve"> is the number of reactions</w:t>
      </w:r>
      <w:r w:rsidR="005A7039" w:rsidRPr="00F453AB">
        <w:rPr>
          <w:rFonts w:ascii="Palatino Linotype" w:hAnsi="Palatino Linotype" w:cs="Times New Roman"/>
          <w:sz w:val="20"/>
          <w:szCs w:val="20"/>
          <w:u w:val="single"/>
        </w:rPr>
        <w:t>, which equals 52</w:t>
      </w:r>
    </w:p>
    <w:tbl>
      <w:tblPr>
        <w:tblStyle w:val="af3"/>
        <w:tblW w:w="0" w:type="auto"/>
        <w:jc w:val="center"/>
        <w:tblLook w:val="04A0" w:firstRow="1" w:lastRow="0" w:firstColumn="1" w:lastColumn="0" w:noHBand="0" w:noVBand="1"/>
      </w:tblPr>
      <w:tblGrid>
        <w:gridCol w:w="1006"/>
        <w:gridCol w:w="2135"/>
        <w:gridCol w:w="1187"/>
      </w:tblGrid>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Notation</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Name</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Dimension</w:t>
            </w:r>
          </w:p>
        </w:tc>
      </w:tr>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S</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Stoichiometric Matrix</w:t>
            </w:r>
          </w:p>
        </w:tc>
        <w:tc>
          <w:tcPr>
            <w:tcW w:w="0" w:type="auto"/>
            <w:vAlign w:val="center"/>
          </w:tcPr>
          <w:p w:rsidR="008E6C43" w:rsidRPr="00147FF5" w:rsidRDefault="001F1187"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m</w:t>
            </w:r>
            <w:r w:rsidR="00BB4607" w:rsidRPr="00147FF5">
              <w:rPr>
                <w:rFonts w:ascii="Palatino Linotype" w:eastAsiaTheme="majorEastAsia" w:hAnsi="Palatino Linotype" w:cs="Times New Roman"/>
                <w:bCs/>
                <w:noProof/>
                <w:sz w:val="20"/>
                <w:szCs w:val="20"/>
              </w:rPr>
              <w:t>×</w:t>
            </w:r>
            <w:r w:rsidR="00AC4961" w:rsidRPr="00147FF5">
              <w:rPr>
                <w:rFonts w:ascii="Palatino Linotype" w:eastAsiaTheme="majorEastAsia" w:hAnsi="Palatino Linotype" w:cs="Times New Roman"/>
                <w:bCs/>
                <w:noProof/>
                <w:sz w:val="20"/>
                <w:szCs w:val="20"/>
              </w:rPr>
              <w:t>n</w:t>
            </w:r>
          </w:p>
        </w:tc>
      </w:tr>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obj</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Objective function</w:t>
            </w:r>
          </w:p>
        </w:tc>
        <w:tc>
          <w:tcPr>
            <w:tcW w:w="0" w:type="auto"/>
            <w:vAlign w:val="center"/>
          </w:tcPr>
          <w:p w:rsidR="008E6C43" w:rsidRPr="00147FF5" w:rsidRDefault="00BB4607"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1×</w:t>
            </w:r>
            <w:r w:rsidR="00AC4961" w:rsidRPr="00147FF5">
              <w:rPr>
                <w:rFonts w:ascii="Palatino Linotype" w:eastAsiaTheme="majorEastAsia" w:hAnsi="Palatino Linotype" w:cs="Times New Roman"/>
                <w:bCs/>
                <w:noProof/>
                <w:sz w:val="20"/>
                <w:szCs w:val="20"/>
              </w:rPr>
              <w:t>n</w:t>
            </w:r>
          </w:p>
        </w:tc>
      </w:tr>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v</w:t>
            </w:r>
            <w:r w:rsidRPr="00A53157">
              <w:rPr>
                <w:rFonts w:ascii="Palatino Linotype" w:eastAsiaTheme="majorEastAsia" w:hAnsi="Palatino Linotype" w:cs="Times New Roman"/>
                <w:bCs/>
                <w:noProof/>
                <w:sz w:val="20"/>
                <w:szCs w:val="20"/>
                <w:vertAlign w:val="subscript"/>
              </w:rPr>
              <w:t>int</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Intracellular fluxes</w:t>
            </w:r>
          </w:p>
        </w:tc>
        <w:tc>
          <w:tcPr>
            <w:tcW w:w="0" w:type="auto"/>
            <w:vAlign w:val="center"/>
          </w:tcPr>
          <w:p w:rsidR="008E6C43" w:rsidRPr="00147FF5" w:rsidRDefault="001F1187"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(m-5)</w:t>
            </w:r>
            <w:r w:rsidR="008E6C43" w:rsidRPr="00147FF5">
              <w:rPr>
                <w:rFonts w:ascii="Palatino Linotype" w:eastAsiaTheme="majorEastAsia" w:hAnsi="Palatino Linotype" w:cs="Times New Roman"/>
                <w:bCs/>
                <w:noProof/>
                <w:sz w:val="20"/>
                <w:szCs w:val="20"/>
              </w:rPr>
              <w:t>×1</w:t>
            </w:r>
          </w:p>
        </w:tc>
      </w:tr>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v</w:t>
            </w:r>
            <w:r w:rsidRPr="00A53157">
              <w:rPr>
                <w:rFonts w:ascii="Palatino Linotype" w:eastAsiaTheme="majorEastAsia" w:hAnsi="Palatino Linotype" w:cs="Times New Roman"/>
                <w:bCs/>
                <w:noProof/>
                <w:sz w:val="20"/>
                <w:szCs w:val="20"/>
                <w:vertAlign w:val="subscript"/>
              </w:rPr>
              <w:t>ext</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Extracellular fluxes</w:t>
            </w:r>
          </w:p>
        </w:tc>
        <w:tc>
          <w:tcPr>
            <w:tcW w:w="0" w:type="auto"/>
            <w:vAlign w:val="center"/>
          </w:tcPr>
          <w:p w:rsidR="008E6C43" w:rsidRPr="00147FF5"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5×1</w:t>
            </w:r>
          </w:p>
        </w:tc>
      </w:tr>
    </w:tbl>
    <w:p w:rsidR="008E6C43" w:rsidRPr="00A53157" w:rsidRDefault="008E6C43" w:rsidP="00A53157">
      <w:pPr>
        <w:pStyle w:val="af0"/>
        <w:spacing w:after="120" w:line="240" w:lineRule="atLeast"/>
        <w:jc w:val="center"/>
        <w:rPr>
          <w:rFonts w:ascii="Palatino Linotype" w:eastAsiaTheme="majorEastAsia" w:hAnsi="Palatino Linotype" w:cs="Times New Roman"/>
          <w:b w:val="0"/>
          <w:bCs w:val="0"/>
          <w:i/>
          <w:noProof/>
          <w:color w:val="auto"/>
          <w:sz w:val="20"/>
          <w:szCs w:val="20"/>
        </w:rPr>
      </w:pPr>
      <w:bookmarkStart w:id="13" w:name="_Toc500722275"/>
      <w:r w:rsidRPr="00A53157">
        <w:rPr>
          <w:rFonts w:ascii="Palatino Linotype" w:hAnsi="Palatino Linotype" w:cs="Times New Roman"/>
          <w:b w:val="0"/>
          <w:color w:val="auto"/>
          <w:sz w:val="20"/>
          <w:szCs w:val="20"/>
        </w:rPr>
        <w:t xml:space="preserve">Table </w:t>
      </w:r>
      <w:r w:rsidRPr="00A53157">
        <w:rPr>
          <w:rFonts w:ascii="Palatino Linotype" w:hAnsi="Palatino Linotype" w:cs="Times New Roman"/>
          <w:b w:val="0"/>
          <w:i/>
          <w:color w:val="auto"/>
          <w:sz w:val="20"/>
          <w:szCs w:val="20"/>
        </w:rPr>
        <w:fldChar w:fldCharType="begin"/>
      </w:r>
      <w:r w:rsidRPr="00A53157">
        <w:rPr>
          <w:rFonts w:ascii="Palatino Linotype" w:hAnsi="Palatino Linotype" w:cs="Times New Roman"/>
          <w:b w:val="0"/>
          <w:color w:val="auto"/>
          <w:sz w:val="20"/>
          <w:szCs w:val="20"/>
        </w:rPr>
        <w:instrText xml:space="preserve"> SEQ Table \* ARABIC \s 1 </w:instrText>
      </w:r>
      <w:r w:rsidRPr="00A53157">
        <w:rPr>
          <w:rFonts w:ascii="Palatino Linotype" w:hAnsi="Palatino Linotype" w:cs="Times New Roman"/>
          <w:b w:val="0"/>
          <w:i/>
          <w:color w:val="auto"/>
          <w:sz w:val="20"/>
          <w:szCs w:val="20"/>
        </w:rPr>
        <w:fldChar w:fldCharType="separate"/>
      </w:r>
      <w:r w:rsidR="00BB4607" w:rsidRPr="00A53157">
        <w:rPr>
          <w:rFonts w:ascii="Palatino Linotype" w:hAnsi="Palatino Linotype" w:cs="Times New Roman"/>
          <w:b w:val="0"/>
          <w:noProof/>
          <w:color w:val="auto"/>
          <w:sz w:val="20"/>
          <w:szCs w:val="20"/>
        </w:rPr>
        <w:t>1</w:t>
      </w:r>
      <w:r w:rsidRPr="00A53157">
        <w:rPr>
          <w:rFonts w:ascii="Palatino Linotype" w:hAnsi="Palatino Linotype" w:cs="Times New Roman"/>
          <w:b w:val="0"/>
          <w:i/>
          <w:color w:val="auto"/>
          <w:sz w:val="20"/>
          <w:szCs w:val="20"/>
        </w:rPr>
        <w:fldChar w:fldCharType="end"/>
      </w:r>
      <w:r w:rsidRPr="00A53157">
        <w:rPr>
          <w:rFonts w:ascii="Palatino Linotype" w:hAnsi="Palatino Linotype" w:cs="Times New Roman"/>
          <w:b w:val="0"/>
          <w:color w:val="auto"/>
          <w:sz w:val="20"/>
          <w:szCs w:val="20"/>
        </w:rPr>
        <w:t xml:space="preserve"> </w:t>
      </w:r>
      <w:bookmarkEnd w:id="13"/>
      <w:r w:rsidR="00BB4607" w:rsidRPr="00A53157">
        <w:rPr>
          <w:rFonts w:ascii="Palatino Linotype" w:hAnsi="Palatino Linotype" w:cs="Times New Roman"/>
          <w:b w:val="0"/>
          <w:color w:val="auto"/>
          <w:sz w:val="20"/>
          <w:szCs w:val="20"/>
        </w:rPr>
        <w:t>– Dimensions of matri</w:t>
      </w:r>
      <w:r w:rsidR="007E1A44" w:rsidRPr="00A53157">
        <w:rPr>
          <w:rFonts w:ascii="Palatino Linotype" w:hAnsi="Palatino Linotype" w:cs="Times New Roman"/>
          <w:b w:val="0"/>
          <w:color w:val="auto"/>
          <w:sz w:val="20"/>
          <w:szCs w:val="20"/>
        </w:rPr>
        <w:t xml:space="preserve">ces in stoichiometric modelling. </w:t>
      </w:r>
    </w:p>
    <w:p w:rsidR="008E6C43" w:rsidRPr="00A53157" w:rsidRDefault="008E6C43" w:rsidP="00A53157">
      <w:p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Optimisation was done using ‘</w:t>
      </w:r>
      <w:r w:rsidRPr="00A53157">
        <w:rPr>
          <w:rFonts w:ascii="Palatino Linotype" w:eastAsiaTheme="majorEastAsia" w:hAnsi="Palatino Linotype" w:cs="Times New Roman"/>
          <w:bCs/>
          <w:i/>
          <w:noProof/>
          <w:sz w:val="20"/>
          <w:szCs w:val="20"/>
        </w:rPr>
        <w:t>linprog</w:t>
      </w:r>
      <w:r w:rsidRPr="00A53157">
        <w:rPr>
          <w:rFonts w:ascii="Palatino Linotype" w:eastAsiaTheme="majorEastAsia" w:hAnsi="Palatino Linotype" w:cs="Times New Roman"/>
          <w:bCs/>
          <w:noProof/>
          <w:sz w:val="20"/>
          <w:szCs w:val="20"/>
        </w:rPr>
        <w:t xml:space="preserve">’ (linear programming, </w:t>
      </w:r>
      <w:r w:rsidRPr="00A53157">
        <w:rPr>
          <w:rFonts w:ascii="Palatino Linotype" w:hAnsi="Palatino Linotype" w:cs="Times New Roman"/>
          <w:sz w:val="20"/>
          <w:szCs w:val="20"/>
          <w:shd w:val="clear" w:color="auto" w:fill="FFFFFF"/>
        </w:rPr>
        <w:t>interior-point-legacy algorithm</w:t>
      </w:r>
      <w:r w:rsidRPr="00A53157">
        <w:rPr>
          <w:rFonts w:ascii="Palatino Linotype" w:eastAsiaTheme="majorEastAsia" w:hAnsi="Palatino Linotype" w:cs="Times New Roman"/>
          <w:bCs/>
          <w:noProof/>
          <w:sz w:val="20"/>
          <w:szCs w:val="20"/>
        </w:rPr>
        <w:t>), ‘</w:t>
      </w:r>
      <w:r w:rsidRPr="00A53157">
        <w:rPr>
          <w:rFonts w:ascii="Palatino Linotype" w:eastAsiaTheme="majorEastAsia" w:hAnsi="Palatino Linotype" w:cs="Times New Roman"/>
          <w:bCs/>
          <w:i/>
          <w:noProof/>
          <w:sz w:val="20"/>
          <w:szCs w:val="20"/>
        </w:rPr>
        <w:t>quadprog</w:t>
      </w:r>
      <w:r w:rsidRPr="00A53157">
        <w:rPr>
          <w:rFonts w:ascii="Palatino Linotype" w:eastAsiaTheme="majorEastAsia" w:hAnsi="Palatino Linotype" w:cs="Times New Roman"/>
          <w:bCs/>
          <w:noProof/>
          <w:sz w:val="20"/>
          <w:szCs w:val="20"/>
        </w:rPr>
        <w:t xml:space="preserve">’ (quadratic programming, </w:t>
      </w:r>
      <w:r w:rsidRPr="00A53157">
        <w:rPr>
          <w:rFonts w:ascii="Palatino Linotype" w:hAnsi="Palatino Linotype" w:cs="Times New Roman"/>
          <w:sz w:val="20"/>
          <w:szCs w:val="20"/>
          <w:shd w:val="clear" w:color="auto" w:fill="FFFFFF"/>
        </w:rPr>
        <w:t>interior-point-convex algorithm</w:t>
      </w:r>
      <w:r w:rsidRPr="00A53157">
        <w:rPr>
          <w:rFonts w:ascii="Palatino Linotype" w:eastAsiaTheme="majorEastAsia" w:hAnsi="Palatino Linotype" w:cs="Times New Roman"/>
          <w:bCs/>
          <w:noProof/>
          <w:sz w:val="20"/>
          <w:szCs w:val="20"/>
        </w:rPr>
        <w:t>), or ‘</w:t>
      </w:r>
      <w:r w:rsidRPr="00A53157">
        <w:rPr>
          <w:rFonts w:ascii="Palatino Linotype" w:eastAsiaTheme="majorEastAsia" w:hAnsi="Palatino Linotype" w:cs="Times New Roman"/>
          <w:bCs/>
          <w:i/>
          <w:noProof/>
          <w:sz w:val="20"/>
          <w:szCs w:val="20"/>
        </w:rPr>
        <w:t>fmincon</w:t>
      </w:r>
      <w:r w:rsidRPr="00A53157">
        <w:rPr>
          <w:rFonts w:ascii="Palatino Linotype" w:eastAsiaTheme="majorEastAsia" w:hAnsi="Palatino Linotype" w:cs="Times New Roman"/>
          <w:bCs/>
          <w:noProof/>
          <w:sz w:val="20"/>
          <w:szCs w:val="20"/>
        </w:rPr>
        <w:t xml:space="preserve">’ (non-linear programming, </w:t>
      </w:r>
      <w:r w:rsidRPr="00A53157">
        <w:rPr>
          <w:rFonts w:ascii="Palatino Linotype" w:eastAsiaTheme="majorEastAsia" w:hAnsi="Palatino Linotype" w:cs="Times New Roman"/>
          <w:bCs/>
          <w:noProof/>
          <w:sz w:val="20"/>
          <w:szCs w:val="20"/>
        </w:rPr>
        <w:lastRenderedPageBreak/>
        <w:t xml:space="preserve">interior-point algorithm) solver in MATLAB, depending on the type of objective function used. With time-series extracellular fluxes as inputs, DFBA is able to determine the time-series flux distribution that optimises a particular cellular objective. </w:t>
      </w:r>
    </w:p>
    <w:p w:rsidR="008E6C43" w:rsidRPr="00A53157" w:rsidRDefault="008E6C43" w:rsidP="00A53157">
      <w:p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In general, DFBA using ‘linprog’ can be conducted in the following steps (DFBA using ‘fmincon’ and ‘quadprog’ </w:t>
      </w:r>
      <w:r w:rsidR="00C87BAC" w:rsidRPr="00A53157">
        <w:rPr>
          <w:rFonts w:ascii="Palatino Linotype" w:eastAsiaTheme="majorEastAsia" w:hAnsi="Palatino Linotype" w:cs="Times New Roman"/>
          <w:bCs/>
          <w:noProof/>
          <w:sz w:val="20"/>
          <w:szCs w:val="20"/>
        </w:rPr>
        <w:t>is essentially conducted</w:t>
      </w:r>
      <w:r w:rsidRPr="00A53157">
        <w:rPr>
          <w:rFonts w:ascii="Palatino Linotype" w:eastAsiaTheme="majorEastAsia" w:hAnsi="Palatino Linotype" w:cs="Times New Roman"/>
          <w:bCs/>
          <w:noProof/>
          <w:sz w:val="20"/>
          <w:szCs w:val="20"/>
        </w:rPr>
        <w:t xml:space="preserve"> in a very similar manner to ‘linprog’, so their procedures will not be </w:t>
      </w:r>
      <w:r w:rsidR="00C87BAC" w:rsidRPr="00A53157">
        <w:rPr>
          <w:rFonts w:ascii="Palatino Linotype" w:eastAsiaTheme="majorEastAsia" w:hAnsi="Palatino Linotype" w:cs="Times New Roman"/>
          <w:bCs/>
          <w:noProof/>
          <w:sz w:val="20"/>
          <w:szCs w:val="20"/>
        </w:rPr>
        <w:t xml:space="preserve">explained </w:t>
      </w:r>
      <w:r w:rsidRPr="00A53157">
        <w:rPr>
          <w:rFonts w:ascii="Palatino Linotype" w:eastAsiaTheme="majorEastAsia" w:hAnsi="Palatino Linotype" w:cs="Times New Roman"/>
          <w:bCs/>
          <w:noProof/>
          <w:sz w:val="20"/>
          <w:szCs w:val="20"/>
        </w:rPr>
        <w:t>specifically):</w:t>
      </w:r>
    </w:p>
    <w:p w:rsidR="00A53157" w:rsidRDefault="008E6C43" w:rsidP="00A53157">
      <w:pPr>
        <w:pStyle w:val="ae"/>
        <w:numPr>
          <w:ilvl w:val="0"/>
          <w:numId w:val="31"/>
        </w:num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Perform fermentation experiments in dulplicate or triplicate. Measure the concentrations of substrates and products, including active biomass (i.e. non-PHB biomass), P</w:t>
      </w:r>
      <w:r w:rsidR="00BB4607" w:rsidRPr="00A53157">
        <w:rPr>
          <w:rFonts w:ascii="Palatino Linotype" w:eastAsiaTheme="majorEastAsia" w:hAnsi="Palatino Linotype" w:cs="Times New Roman"/>
          <w:bCs/>
          <w:noProof/>
          <w:sz w:val="20"/>
          <w:szCs w:val="20"/>
        </w:rPr>
        <w:t>HB, glycerol and organic acids</w:t>
      </w:r>
      <w:r w:rsidRPr="00A53157">
        <w:rPr>
          <w:rFonts w:ascii="Palatino Linotype" w:eastAsiaTheme="majorEastAsia" w:hAnsi="Palatino Linotype" w:cs="Times New Roman"/>
          <w:bCs/>
          <w:noProof/>
          <w:sz w:val="20"/>
          <w:szCs w:val="20"/>
        </w:rPr>
        <w:t xml:space="preserve">. </w:t>
      </w:r>
    </w:p>
    <w:p w:rsidR="00A53157" w:rsidRDefault="008E6C43" w:rsidP="00A53157">
      <w:pPr>
        <w:pStyle w:val="ae"/>
        <w:numPr>
          <w:ilvl w:val="0"/>
          <w:numId w:val="31"/>
        </w:num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Apply data smoothing to the measured concentration profiles and calculate time-series extracellular fluxes throughout the fermentation. </w:t>
      </w:r>
    </w:p>
    <w:p w:rsidR="00A53157" w:rsidRDefault="008E6C43" w:rsidP="00A53157">
      <w:pPr>
        <w:pStyle w:val="ae"/>
        <w:numPr>
          <w:ilvl w:val="0"/>
          <w:numId w:val="31"/>
        </w:num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Perform data reconciliation and error propagation for the extracellular</w:t>
      </w:r>
      <w:r w:rsidR="00BB4607" w:rsidRPr="00A53157">
        <w:rPr>
          <w:rFonts w:ascii="Palatino Linotype" w:eastAsiaTheme="majorEastAsia" w:hAnsi="Palatino Linotype" w:cs="Times New Roman"/>
          <w:bCs/>
          <w:noProof/>
          <w:sz w:val="20"/>
          <w:szCs w:val="20"/>
        </w:rPr>
        <w:t xml:space="preserve"> fluxes</w:t>
      </w:r>
      <w:r w:rsidRPr="00A53157">
        <w:rPr>
          <w:rFonts w:ascii="Palatino Linotype" w:eastAsiaTheme="majorEastAsia" w:hAnsi="Palatino Linotype" w:cs="Times New Roman"/>
          <w:bCs/>
          <w:noProof/>
          <w:sz w:val="20"/>
          <w:szCs w:val="20"/>
        </w:rPr>
        <w:t>.</w:t>
      </w:r>
    </w:p>
    <w:p w:rsidR="00A53157" w:rsidRDefault="008E6C43" w:rsidP="00A53157">
      <w:pPr>
        <w:pStyle w:val="ae"/>
        <w:numPr>
          <w:ilvl w:val="0"/>
          <w:numId w:val="31"/>
        </w:num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Construct a metabolic network that contains </w:t>
      </w:r>
      <w:r w:rsidRPr="00A53157">
        <w:rPr>
          <w:rFonts w:ascii="Palatino Linotype" w:eastAsiaTheme="majorEastAsia" w:hAnsi="Palatino Linotype" w:cs="Times New Roman"/>
          <w:b/>
          <w:bCs/>
          <w:noProof/>
          <w:sz w:val="20"/>
          <w:szCs w:val="20"/>
        </w:rPr>
        <w:t>m</w:t>
      </w:r>
      <w:r w:rsidRPr="00A53157">
        <w:rPr>
          <w:rFonts w:ascii="Palatino Linotype" w:eastAsiaTheme="majorEastAsia" w:hAnsi="Palatino Linotype" w:cs="Times New Roman"/>
          <w:bCs/>
          <w:noProof/>
          <w:sz w:val="20"/>
          <w:szCs w:val="20"/>
        </w:rPr>
        <w:t xml:space="preserve"> metabolites and </w:t>
      </w:r>
      <w:r w:rsidRPr="00A53157">
        <w:rPr>
          <w:rFonts w:ascii="Palatino Linotype" w:eastAsiaTheme="majorEastAsia" w:hAnsi="Palatino Linotype" w:cs="Times New Roman"/>
          <w:b/>
          <w:bCs/>
          <w:noProof/>
          <w:sz w:val="20"/>
          <w:szCs w:val="20"/>
        </w:rPr>
        <w:t>n</w:t>
      </w:r>
      <w:r w:rsidR="00BB4607" w:rsidRPr="00A53157">
        <w:rPr>
          <w:rFonts w:ascii="Palatino Linotype" w:eastAsiaTheme="majorEastAsia" w:hAnsi="Palatino Linotype" w:cs="Times New Roman"/>
          <w:bCs/>
          <w:noProof/>
          <w:sz w:val="20"/>
          <w:szCs w:val="20"/>
        </w:rPr>
        <w:t xml:space="preserve"> irreversible reactions</w:t>
      </w:r>
      <w:r w:rsidRPr="00A53157">
        <w:rPr>
          <w:rFonts w:ascii="Palatino Linotype" w:eastAsiaTheme="majorEastAsia" w:hAnsi="Palatino Linotype" w:cs="Times New Roman"/>
          <w:bCs/>
          <w:noProof/>
          <w:sz w:val="20"/>
          <w:szCs w:val="20"/>
        </w:rPr>
        <w:t xml:space="preserve">. In MATLAB, this network will be represented as a stoichiometric matrix </w:t>
      </w:r>
      <w:r w:rsidRPr="00A53157">
        <w:rPr>
          <w:rFonts w:ascii="Palatino Linotype" w:eastAsiaTheme="majorEastAsia" w:hAnsi="Palatino Linotype" w:cs="Times New Roman"/>
          <w:b/>
          <w:bCs/>
          <w:noProof/>
          <w:sz w:val="20"/>
          <w:szCs w:val="20"/>
        </w:rPr>
        <w:t>S</w:t>
      </w:r>
      <w:r w:rsidRPr="00A53157">
        <w:rPr>
          <w:rFonts w:ascii="Palatino Linotype" w:eastAsiaTheme="majorEastAsia" w:hAnsi="Palatino Linotype" w:cs="Times New Roman"/>
          <w:bCs/>
          <w:noProof/>
          <w:sz w:val="20"/>
          <w:szCs w:val="20"/>
        </w:rPr>
        <w:t xml:space="preserve">. For example, </w:t>
      </w:r>
      <w:r w:rsidRPr="00A53157">
        <w:rPr>
          <w:rFonts w:ascii="Palatino Linotype" w:eastAsiaTheme="majorEastAsia" w:hAnsi="Palatino Linotype" w:cs="Times New Roman"/>
          <w:b/>
          <w:bCs/>
          <w:noProof/>
          <w:sz w:val="20"/>
          <w:szCs w:val="20"/>
        </w:rPr>
        <w:t>S(i,j)</w:t>
      </w:r>
      <w:r w:rsidRPr="00A53157">
        <w:rPr>
          <w:rFonts w:ascii="Palatino Linotype" w:eastAsiaTheme="majorEastAsia" w:hAnsi="Palatino Linotype" w:cs="Times New Roman"/>
          <w:bCs/>
          <w:noProof/>
          <w:sz w:val="20"/>
          <w:szCs w:val="20"/>
        </w:rPr>
        <w:t xml:space="preserve"> is the stoichiometric coefficient of the </w:t>
      </w:r>
      <w:r w:rsidRPr="00A53157">
        <w:rPr>
          <w:rFonts w:ascii="Palatino Linotype" w:eastAsiaTheme="majorEastAsia" w:hAnsi="Palatino Linotype" w:cs="Times New Roman"/>
          <w:b/>
          <w:bCs/>
          <w:noProof/>
          <w:sz w:val="20"/>
          <w:szCs w:val="20"/>
        </w:rPr>
        <w:t>i</w:t>
      </w:r>
      <w:r w:rsidRPr="00A53157">
        <w:rPr>
          <w:rFonts w:ascii="Palatino Linotype" w:eastAsiaTheme="majorEastAsia" w:hAnsi="Palatino Linotype" w:cs="Times New Roman"/>
          <w:bCs/>
          <w:noProof/>
          <w:sz w:val="20"/>
          <w:szCs w:val="20"/>
        </w:rPr>
        <w:t xml:space="preserve">th component in the </w:t>
      </w:r>
      <w:r w:rsidRPr="00A53157">
        <w:rPr>
          <w:rFonts w:ascii="Palatino Linotype" w:eastAsiaTheme="majorEastAsia" w:hAnsi="Palatino Linotype" w:cs="Times New Roman"/>
          <w:b/>
          <w:bCs/>
          <w:noProof/>
          <w:sz w:val="20"/>
          <w:szCs w:val="20"/>
        </w:rPr>
        <w:t>j</w:t>
      </w:r>
      <w:r w:rsidRPr="00A53157">
        <w:rPr>
          <w:rFonts w:ascii="Palatino Linotype" w:eastAsiaTheme="majorEastAsia" w:hAnsi="Palatino Linotype" w:cs="Times New Roman"/>
          <w:bCs/>
          <w:noProof/>
          <w:sz w:val="20"/>
          <w:szCs w:val="20"/>
        </w:rPr>
        <w:t xml:space="preserve">th reaction. </w:t>
      </w:r>
    </w:p>
    <w:p w:rsidR="00A53157" w:rsidRDefault="008E6C43" w:rsidP="00A53157">
      <w:pPr>
        <w:pStyle w:val="ae"/>
        <w:numPr>
          <w:ilvl w:val="0"/>
          <w:numId w:val="31"/>
        </w:num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In MATLAB, create an objective function weight vector </w:t>
      </w:r>
      <w:r w:rsidRPr="00A53157">
        <w:rPr>
          <w:rFonts w:ascii="Palatino Linotype" w:eastAsiaTheme="majorEastAsia" w:hAnsi="Palatino Linotype" w:cs="Times New Roman"/>
          <w:b/>
          <w:bCs/>
          <w:noProof/>
          <w:sz w:val="20"/>
          <w:szCs w:val="20"/>
        </w:rPr>
        <w:t>obj</w:t>
      </w:r>
      <w:r w:rsidRPr="00A53157">
        <w:rPr>
          <w:rFonts w:ascii="Palatino Linotype" w:eastAsiaTheme="majorEastAsia" w:hAnsi="Palatino Linotype" w:cs="Times New Roman"/>
          <w:bCs/>
          <w:noProof/>
          <w:sz w:val="20"/>
          <w:szCs w:val="20"/>
        </w:rPr>
        <w:t xml:space="preserve"> of size 1×</w:t>
      </w:r>
      <w:r w:rsidRPr="00A53157">
        <w:rPr>
          <w:rFonts w:ascii="Palatino Linotype" w:eastAsiaTheme="majorEastAsia" w:hAnsi="Palatino Linotype" w:cs="Times New Roman"/>
          <w:b/>
          <w:bCs/>
          <w:noProof/>
          <w:sz w:val="20"/>
          <w:szCs w:val="20"/>
        </w:rPr>
        <w:t>n</w:t>
      </w:r>
      <w:r w:rsidRPr="00A53157">
        <w:rPr>
          <w:rFonts w:ascii="Palatino Linotype" w:eastAsiaTheme="majorEastAsia" w:hAnsi="Palatino Linotype" w:cs="Times New Roman"/>
          <w:bCs/>
          <w:noProof/>
          <w:sz w:val="20"/>
          <w:szCs w:val="20"/>
        </w:rPr>
        <w:t xml:space="preserve">. Assign the elements in </w:t>
      </w:r>
      <w:r w:rsidRPr="00A53157">
        <w:rPr>
          <w:rFonts w:ascii="Palatino Linotype" w:eastAsiaTheme="majorEastAsia" w:hAnsi="Palatino Linotype" w:cs="Times New Roman"/>
          <w:b/>
          <w:bCs/>
          <w:noProof/>
          <w:sz w:val="20"/>
          <w:szCs w:val="20"/>
        </w:rPr>
        <w:t>obj</w:t>
      </w:r>
      <w:r w:rsidRPr="00A53157">
        <w:rPr>
          <w:rFonts w:ascii="Palatino Linotype" w:eastAsiaTheme="majorEastAsia" w:hAnsi="Palatino Linotype" w:cs="Times New Roman"/>
          <w:bCs/>
          <w:noProof/>
          <w:sz w:val="20"/>
          <w:szCs w:val="20"/>
        </w:rPr>
        <w:t xml:space="preserve"> with different weight values according to the actual optimisation targets (e.g. optimising the flux of PHB synthesis). </w:t>
      </w:r>
    </w:p>
    <w:p w:rsidR="00A53157" w:rsidRDefault="008E6C43" w:rsidP="00A53157">
      <w:pPr>
        <w:pStyle w:val="ae"/>
        <w:numPr>
          <w:ilvl w:val="0"/>
          <w:numId w:val="31"/>
        </w:num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In MATLAB, create an upper bound vector </w:t>
      </w:r>
      <w:r w:rsidRPr="00A53157">
        <w:rPr>
          <w:rFonts w:ascii="Palatino Linotype" w:eastAsiaTheme="majorEastAsia" w:hAnsi="Palatino Linotype" w:cs="Times New Roman"/>
          <w:b/>
          <w:bCs/>
          <w:noProof/>
          <w:sz w:val="20"/>
          <w:szCs w:val="20"/>
        </w:rPr>
        <w:t>ub</w:t>
      </w:r>
      <w:r w:rsidRPr="00A53157">
        <w:rPr>
          <w:rFonts w:ascii="Palatino Linotype" w:eastAsiaTheme="majorEastAsia" w:hAnsi="Palatino Linotype" w:cs="Times New Roman"/>
          <w:bCs/>
          <w:noProof/>
          <w:sz w:val="20"/>
          <w:szCs w:val="20"/>
        </w:rPr>
        <w:t xml:space="preserve"> of size </w:t>
      </w:r>
      <w:bookmarkStart w:id="14" w:name="OLE_LINK500"/>
      <w:bookmarkStart w:id="15" w:name="OLE_LINK501"/>
      <w:r w:rsidRPr="00A53157">
        <w:rPr>
          <w:rFonts w:ascii="Palatino Linotype" w:eastAsiaTheme="majorEastAsia" w:hAnsi="Palatino Linotype" w:cs="Times New Roman"/>
          <w:b/>
          <w:bCs/>
          <w:noProof/>
          <w:sz w:val="20"/>
          <w:szCs w:val="20"/>
        </w:rPr>
        <w:t>n</w:t>
      </w:r>
      <w:r w:rsidRPr="00A53157">
        <w:rPr>
          <w:rFonts w:ascii="Palatino Linotype" w:eastAsiaTheme="majorEastAsia" w:hAnsi="Palatino Linotype" w:cs="Times New Roman"/>
          <w:bCs/>
          <w:noProof/>
          <w:sz w:val="20"/>
          <w:szCs w:val="20"/>
        </w:rPr>
        <w:t>×1</w:t>
      </w:r>
      <w:bookmarkEnd w:id="14"/>
      <w:bookmarkEnd w:id="15"/>
      <w:r w:rsidRPr="00A53157">
        <w:rPr>
          <w:rFonts w:ascii="Palatino Linotype" w:eastAsiaTheme="majorEastAsia" w:hAnsi="Palatino Linotype" w:cs="Times New Roman"/>
          <w:bCs/>
          <w:noProof/>
          <w:sz w:val="20"/>
          <w:szCs w:val="20"/>
        </w:rPr>
        <w:t xml:space="preserve">. Each element of </w:t>
      </w:r>
      <w:r w:rsidRPr="00A53157">
        <w:rPr>
          <w:rFonts w:ascii="Palatino Linotype" w:eastAsiaTheme="majorEastAsia" w:hAnsi="Palatino Linotype" w:cs="Times New Roman"/>
          <w:b/>
          <w:bCs/>
          <w:noProof/>
          <w:sz w:val="20"/>
          <w:szCs w:val="20"/>
        </w:rPr>
        <w:t>ub</w:t>
      </w:r>
      <w:r w:rsidRPr="00A53157">
        <w:rPr>
          <w:rFonts w:ascii="Palatino Linotype" w:eastAsiaTheme="majorEastAsia" w:hAnsi="Palatino Linotype" w:cs="Times New Roman"/>
          <w:bCs/>
          <w:noProof/>
          <w:sz w:val="20"/>
          <w:szCs w:val="20"/>
        </w:rPr>
        <w:t xml:space="preserve"> should specify the upper flux bound of the corresponding reaction. Similarly, a lower bound vector </w:t>
      </w:r>
      <w:r w:rsidRPr="00A53157">
        <w:rPr>
          <w:rFonts w:ascii="Palatino Linotype" w:eastAsiaTheme="majorEastAsia" w:hAnsi="Palatino Linotype" w:cs="Times New Roman"/>
          <w:b/>
          <w:bCs/>
          <w:noProof/>
          <w:sz w:val="20"/>
          <w:szCs w:val="20"/>
        </w:rPr>
        <w:t>lb</w:t>
      </w:r>
      <w:r w:rsidRPr="00A53157">
        <w:rPr>
          <w:rFonts w:ascii="Palatino Linotype" w:eastAsiaTheme="majorEastAsia" w:hAnsi="Palatino Linotype" w:cs="Times New Roman"/>
          <w:bCs/>
          <w:noProof/>
          <w:sz w:val="20"/>
          <w:szCs w:val="20"/>
        </w:rPr>
        <w:t xml:space="preserve"> is created. As specified in </w:t>
      </w:r>
      <w:r w:rsidRPr="00A53157">
        <w:rPr>
          <w:rFonts w:ascii="Palatino Linotype" w:eastAsiaTheme="majorEastAsia" w:hAnsi="Palatino Linotype" w:cs="Times New Roman"/>
          <w:b/>
          <w:bCs/>
          <w:noProof/>
          <w:sz w:val="20"/>
          <w:szCs w:val="20"/>
        </w:rPr>
        <w:t>Constraint 2</w:t>
      </w:r>
      <w:r w:rsidRPr="00A53157">
        <w:rPr>
          <w:rFonts w:ascii="Palatino Linotype" w:eastAsiaTheme="majorEastAsia" w:hAnsi="Palatino Linotype" w:cs="Times New Roman"/>
          <w:bCs/>
          <w:noProof/>
          <w:sz w:val="20"/>
          <w:szCs w:val="20"/>
        </w:rPr>
        <w:t xml:space="preserve"> above, an upper bound of 30 mmol/(gDCW·h) and a lower bound of 0 mmol/(gDCW·h) were assumed for most unknown fluxes in the metabolic network. </w:t>
      </w:r>
    </w:p>
    <w:p w:rsidR="00A53157" w:rsidRDefault="008E6C43" w:rsidP="00A53157">
      <w:pPr>
        <w:pStyle w:val="ae"/>
        <w:numPr>
          <w:ilvl w:val="0"/>
          <w:numId w:val="31"/>
        </w:num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For extracellular fluxes, the values of their upper bounds and lower bounds in </w:t>
      </w:r>
      <w:r w:rsidRPr="00A53157">
        <w:rPr>
          <w:rFonts w:ascii="Palatino Linotype" w:eastAsiaTheme="majorEastAsia" w:hAnsi="Palatino Linotype" w:cs="Times New Roman"/>
          <w:b/>
          <w:bCs/>
          <w:noProof/>
          <w:sz w:val="20"/>
          <w:szCs w:val="20"/>
        </w:rPr>
        <w:t>ub</w:t>
      </w:r>
      <w:r w:rsidRPr="00A53157">
        <w:rPr>
          <w:rFonts w:ascii="Palatino Linotype" w:eastAsiaTheme="majorEastAsia" w:hAnsi="Palatino Linotype" w:cs="Times New Roman"/>
          <w:bCs/>
          <w:noProof/>
          <w:sz w:val="20"/>
          <w:szCs w:val="20"/>
        </w:rPr>
        <w:t xml:space="preserve"> and </w:t>
      </w:r>
      <w:r w:rsidRPr="00A53157">
        <w:rPr>
          <w:rFonts w:ascii="Palatino Linotype" w:eastAsiaTheme="majorEastAsia" w:hAnsi="Palatino Linotype" w:cs="Times New Roman"/>
          <w:b/>
          <w:bCs/>
          <w:noProof/>
          <w:sz w:val="20"/>
          <w:szCs w:val="20"/>
        </w:rPr>
        <w:t>lb</w:t>
      </w:r>
      <w:r w:rsidRPr="00A53157">
        <w:rPr>
          <w:rFonts w:ascii="Palatino Linotype" w:eastAsiaTheme="majorEastAsia" w:hAnsi="Palatino Linotype" w:cs="Times New Roman"/>
          <w:bCs/>
          <w:noProof/>
          <w:sz w:val="20"/>
          <w:szCs w:val="20"/>
        </w:rPr>
        <w:t xml:space="preserve"> are set according to experimental measurements and relaxed by their respective standard errors (</w:t>
      </w:r>
      <w:r w:rsidRPr="00A53157">
        <w:rPr>
          <w:rFonts w:ascii="Palatino Linotype" w:eastAsiaTheme="majorEastAsia" w:hAnsi="Palatino Linotype" w:cs="Times New Roman"/>
          <w:b/>
          <w:bCs/>
          <w:noProof/>
          <w:sz w:val="20"/>
          <w:szCs w:val="20"/>
        </w:rPr>
        <w:t>Constraint 3</w:t>
      </w:r>
      <w:r w:rsidRPr="00A53157">
        <w:rPr>
          <w:rFonts w:ascii="Palatino Linotype" w:eastAsiaTheme="majorEastAsia" w:hAnsi="Palatino Linotype" w:cs="Times New Roman"/>
          <w:bCs/>
          <w:noProof/>
          <w:sz w:val="20"/>
          <w:szCs w:val="20"/>
        </w:rPr>
        <w:t xml:space="preserve">). </w:t>
      </w:r>
    </w:p>
    <w:p w:rsidR="00A53157" w:rsidRDefault="008E6C43" w:rsidP="00A53157">
      <w:pPr>
        <w:pStyle w:val="ae"/>
        <w:numPr>
          <w:ilvl w:val="0"/>
          <w:numId w:val="31"/>
        </w:num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Create a vector </w:t>
      </w:r>
      <w:r w:rsidRPr="00A53157">
        <w:rPr>
          <w:rFonts w:ascii="Palatino Linotype" w:eastAsiaTheme="majorEastAsia" w:hAnsi="Palatino Linotype" w:cs="Times New Roman"/>
          <w:b/>
          <w:bCs/>
          <w:noProof/>
          <w:sz w:val="20"/>
          <w:szCs w:val="20"/>
        </w:rPr>
        <w:t>beq</w:t>
      </w:r>
      <w:r w:rsidRPr="00A53157">
        <w:rPr>
          <w:rFonts w:ascii="Palatino Linotype" w:eastAsiaTheme="majorEastAsia" w:hAnsi="Palatino Linotype" w:cs="Times New Roman"/>
          <w:bCs/>
          <w:noProof/>
          <w:sz w:val="20"/>
          <w:szCs w:val="20"/>
        </w:rPr>
        <w:t xml:space="preserve"> of zeros. The size of </w:t>
      </w:r>
      <w:r w:rsidRPr="00A53157">
        <w:rPr>
          <w:rFonts w:ascii="Palatino Linotype" w:eastAsiaTheme="majorEastAsia" w:hAnsi="Palatino Linotype" w:cs="Times New Roman"/>
          <w:b/>
          <w:bCs/>
          <w:noProof/>
          <w:sz w:val="20"/>
          <w:szCs w:val="20"/>
        </w:rPr>
        <w:t>beq</w:t>
      </w:r>
      <w:r w:rsidRPr="00A53157">
        <w:rPr>
          <w:rFonts w:ascii="Palatino Linotype" w:eastAsiaTheme="majorEastAsia" w:hAnsi="Palatino Linotype" w:cs="Times New Roman"/>
          <w:bCs/>
          <w:noProof/>
          <w:sz w:val="20"/>
          <w:szCs w:val="20"/>
        </w:rPr>
        <w:t xml:space="preserve"> is </w:t>
      </w:r>
      <w:r w:rsidRPr="00A53157">
        <w:rPr>
          <w:rFonts w:ascii="Palatino Linotype" w:eastAsiaTheme="majorEastAsia" w:hAnsi="Palatino Linotype" w:cs="Times New Roman"/>
          <w:b/>
          <w:bCs/>
          <w:noProof/>
          <w:sz w:val="20"/>
          <w:szCs w:val="20"/>
        </w:rPr>
        <w:t>m</w:t>
      </w:r>
      <w:r w:rsidRPr="00A53157">
        <w:rPr>
          <w:rFonts w:ascii="Palatino Linotype" w:eastAsiaTheme="majorEastAsia" w:hAnsi="Palatino Linotype" w:cs="Times New Roman"/>
          <w:bCs/>
          <w:noProof/>
          <w:sz w:val="20"/>
          <w:szCs w:val="20"/>
        </w:rPr>
        <w:t xml:space="preserve">×1. Thus the mass balance constraint (namely </w:t>
      </w:r>
      <w:r w:rsidRPr="00A53157">
        <w:rPr>
          <w:rFonts w:ascii="Palatino Linotype" w:eastAsiaTheme="majorEastAsia" w:hAnsi="Palatino Linotype" w:cs="Times New Roman"/>
          <w:b/>
          <w:bCs/>
          <w:noProof/>
          <w:sz w:val="20"/>
          <w:szCs w:val="20"/>
        </w:rPr>
        <w:t>Constraint 1</w:t>
      </w:r>
      <w:r w:rsidRPr="00A53157">
        <w:rPr>
          <w:rFonts w:ascii="Palatino Linotype" w:eastAsiaTheme="majorEastAsia" w:hAnsi="Palatino Linotype" w:cs="Times New Roman"/>
          <w:bCs/>
          <w:noProof/>
          <w:sz w:val="20"/>
          <w:szCs w:val="20"/>
        </w:rPr>
        <w:t xml:space="preserve">) </w:t>
      </w:r>
      <w:r w:rsidRPr="00A53157">
        <w:rPr>
          <w:rFonts w:ascii="Palatino Linotype" w:eastAsiaTheme="majorEastAsia" w:hAnsi="Palatino Linotype" w:cs="Times New Roman"/>
          <w:b/>
          <w:bCs/>
          <w:noProof/>
          <w:sz w:val="20"/>
          <w:szCs w:val="20"/>
        </w:rPr>
        <w:t xml:space="preserve">S·v </w:t>
      </w:r>
      <w:r w:rsidRPr="00A53157">
        <w:rPr>
          <w:rFonts w:ascii="Palatino Linotype" w:eastAsiaTheme="majorEastAsia" w:hAnsi="Palatino Linotype" w:cs="Times New Roman"/>
          <w:bCs/>
          <w:noProof/>
          <w:sz w:val="20"/>
          <w:szCs w:val="20"/>
        </w:rPr>
        <w:t xml:space="preserve">= </w:t>
      </w:r>
      <w:r w:rsidRPr="00A53157">
        <w:rPr>
          <w:rFonts w:ascii="Palatino Linotype" w:eastAsiaTheme="majorEastAsia" w:hAnsi="Palatino Linotype" w:cs="Times New Roman"/>
          <w:b/>
          <w:bCs/>
          <w:noProof/>
          <w:sz w:val="20"/>
          <w:szCs w:val="20"/>
        </w:rPr>
        <w:t>0</w:t>
      </w:r>
      <w:r w:rsidRPr="00A53157">
        <w:rPr>
          <w:rFonts w:ascii="Palatino Linotype" w:eastAsiaTheme="majorEastAsia" w:hAnsi="Palatino Linotype" w:cs="Times New Roman"/>
          <w:bCs/>
          <w:noProof/>
          <w:sz w:val="20"/>
          <w:szCs w:val="20"/>
        </w:rPr>
        <w:t xml:space="preserve"> can be written in MATLAB as </w:t>
      </w:r>
      <w:r w:rsidRPr="00A53157">
        <w:rPr>
          <w:rFonts w:ascii="Palatino Linotype" w:eastAsiaTheme="majorEastAsia" w:hAnsi="Palatino Linotype" w:cs="Times New Roman"/>
          <w:b/>
          <w:bCs/>
          <w:noProof/>
          <w:sz w:val="20"/>
          <w:szCs w:val="20"/>
        </w:rPr>
        <w:t xml:space="preserve">S·v </w:t>
      </w:r>
      <w:r w:rsidRPr="00A53157">
        <w:rPr>
          <w:rFonts w:ascii="Palatino Linotype" w:eastAsiaTheme="majorEastAsia" w:hAnsi="Palatino Linotype" w:cs="Times New Roman"/>
          <w:bCs/>
          <w:noProof/>
          <w:sz w:val="20"/>
          <w:szCs w:val="20"/>
        </w:rPr>
        <w:t xml:space="preserve">= </w:t>
      </w:r>
      <w:r w:rsidRPr="00A53157">
        <w:rPr>
          <w:rFonts w:ascii="Palatino Linotype" w:eastAsiaTheme="majorEastAsia" w:hAnsi="Palatino Linotype" w:cs="Times New Roman"/>
          <w:b/>
          <w:bCs/>
          <w:noProof/>
          <w:sz w:val="20"/>
          <w:szCs w:val="20"/>
        </w:rPr>
        <w:t>beq</w:t>
      </w:r>
      <w:r w:rsidRPr="00A53157">
        <w:rPr>
          <w:rFonts w:ascii="Palatino Linotype" w:eastAsiaTheme="majorEastAsia" w:hAnsi="Palatino Linotype" w:cs="Times New Roman"/>
          <w:bCs/>
          <w:noProof/>
          <w:sz w:val="20"/>
          <w:szCs w:val="20"/>
        </w:rPr>
        <w:t xml:space="preserve">. </w:t>
      </w:r>
    </w:p>
    <w:p w:rsidR="008E6C43" w:rsidRPr="00A53157" w:rsidRDefault="008E6C43" w:rsidP="00A53157">
      <w:pPr>
        <w:pStyle w:val="ae"/>
        <w:numPr>
          <w:ilvl w:val="0"/>
          <w:numId w:val="31"/>
        </w:num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Given the stoichiometric matrix </w:t>
      </w:r>
      <w:r w:rsidRPr="00A53157">
        <w:rPr>
          <w:rFonts w:ascii="Palatino Linotype" w:eastAsiaTheme="majorEastAsia" w:hAnsi="Palatino Linotype" w:cs="Times New Roman"/>
          <w:b/>
          <w:bCs/>
          <w:noProof/>
          <w:sz w:val="20"/>
          <w:szCs w:val="20"/>
        </w:rPr>
        <w:t>S</w:t>
      </w:r>
      <w:r w:rsidRPr="00A53157">
        <w:rPr>
          <w:rFonts w:ascii="Palatino Linotype" w:eastAsiaTheme="majorEastAsia" w:hAnsi="Palatino Linotype" w:cs="Times New Roman"/>
          <w:bCs/>
          <w:noProof/>
          <w:sz w:val="20"/>
          <w:szCs w:val="20"/>
        </w:rPr>
        <w:t xml:space="preserve">, objective function weight vector </w:t>
      </w:r>
      <w:r w:rsidRPr="00A53157">
        <w:rPr>
          <w:rFonts w:ascii="Palatino Linotype" w:eastAsiaTheme="majorEastAsia" w:hAnsi="Palatino Linotype" w:cs="Times New Roman"/>
          <w:b/>
          <w:bCs/>
          <w:noProof/>
          <w:sz w:val="20"/>
          <w:szCs w:val="20"/>
        </w:rPr>
        <w:t>obj</w:t>
      </w:r>
      <w:r w:rsidRPr="00A53157">
        <w:rPr>
          <w:rFonts w:ascii="Palatino Linotype" w:eastAsiaTheme="majorEastAsia" w:hAnsi="Palatino Linotype" w:cs="Times New Roman"/>
          <w:bCs/>
          <w:noProof/>
          <w:sz w:val="20"/>
          <w:szCs w:val="20"/>
        </w:rPr>
        <w:t xml:space="preserve">, upper and lower bounds </w:t>
      </w:r>
      <w:r w:rsidRPr="00A53157">
        <w:rPr>
          <w:rFonts w:ascii="Palatino Linotype" w:eastAsiaTheme="majorEastAsia" w:hAnsi="Palatino Linotype" w:cs="Times New Roman"/>
          <w:b/>
          <w:bCs/>
          <w:noProof/>
          <w:sz w:val="20"/>
          <w:szCs w:val="20"/>
        </w:rPr>
        <w:t>ub</w:t>
      </w:r>
      <w:r w:rsidRPr="00A53157">
        <w:rPr>
          <w:rFonts w:ascii="Palatino Linotype" w:eastAsiaTheme="majorEastAsia" w:hAnsi="Palatino Linotype" w:cs="Times New Roman"/>
          <w:bCs/>
          <w:noProof/>
          <w:sz w:val="20"/>
          <w:szCs w:val="20"/>
        </w:rPr>
        <w:t xml:space="preserve"> and </w:t>
      </w:r>
      <w:r w:rsidRPr="00A53157">
        <w:rPr>
          <w:rFonts w:ascii="Palatino Linotype" w:eastAsiaTheme="majorEastAsia" w:hAnsi="Palatino Linotype" w:cs="Times New Roman"/>
          <w:b/>
          <w:bCs/>
          <w:noProof/>
          <w:sz w:val="20"/>
          <w:szCs w:val="20"/>
        </w:rPr>
        <w:t>lb</w:t>
      </w:r>
      <w:r w:rsidRPr="00A53157">
        <w:rPr>
          <w:rFonts w:ascii="Palatino Linotype" w:eastAsiaTheme="majorEastAsia" w:hAnsi="Palatino Linotype" w:cs="Times New Roman"/>
          <w:bCs/>
          <w:noProof/>
          <w:sz w:val="20"/>
          <w:szCs w:val="20"/>
        </w:rPr>
        <w:t xml:space="preserve">, as well as vector </w:t>
      </w:r>
      <w:r w:rsidRPr="00A53157">
        <w:rPr>
          <w:rFonts w:ascii="Palatino Linotype" w:eastAsiaTheme="majorEastAsia" w:hAnsi="Palatino Linotype" w:cs="Times New Roman"/>
          <w:b/>
          <w:bCs/>
          <w:noProof/>
          <w:sz w:val="20"/>
          <w:szCs w:val="20"/>
        </w:rPr>
        <w:t>beq</w:t>
      </w:r>
      <w:r w:rsidRPr="00A53157">
        <w:rPr>
          <w:rFonts w:ascii="Palatino Linotype" w:eastAsiaTheme="majorEastAsia" w:hAnsi="Palatino Linotype" w:cs="Times New Roman"/>
          <w:bCs/>
          <w:noProof/>
          <w:sz w:val="20"/>
          <w:szCs w:val="20"/>
        </w:rPr>
        <w:t>, the optimisation can be performed in MATLAB using ‘linprog’ as follows:</w:t>
      </w:r>
    </w:p>
    <w:p w:rsidR="008E6C43" w:rsidRPr="00A53157" w:rsidRDefault="008E6C43" w:rsidP="00A53157">
      <w:pPr>
        <w:pStyle w:val="ae"/>
        <w:tabs>
          <w:tab w:val="left" w:pos="2100"/>
        </w:tabs>
        <w:snapToGrid w:val="0"/>
        <w:spacing w:after="120" w:line="240" w:lineRule="atLeast"/>
        <w:ind w:left="0"/>
        <w:jc w:val="center"/>
        <w:rPr>
          <w:rFonts w:ascii="Palatino Linotype" w:eastAsia="Microsoft YaHei UI" w:hAnsi="Palatino Linotype" w:cs="Times New Roman"/>
          <w:iCs/>
          <w:color w:val="000000"/>
          <w:sz w:val="20"/>
          <w:szCs w:val="20"/>
        </w:rPr>
      </w:pPr>
      <w:r w:rsidRPr="00A53157">
        <w:rPr>
          <w:rFonts w:ascii="Palatino Linotype" w:eastAsiaTheme="majorEastAsia" w:hAnsi="Palatino Linotype" w:cs="Times New Roman"/>
          <w:b/>
          <w:bCs/>
          <w:noProof/>
          <w:sz w:val="20"/>
          <w:szCs w:val="20"/>
        </w:rPr>
        <w:t>v</w:t>
      </w:r>
      <w:r w:rsidRPr="00A53157">
        <w:rPr>
          <w:rFonts w:ascii="Palatino Linotype" w:eastAsiaTheme="majorEastAsia" w:hAnsi="Palatino Linotype" w:cs="Times New Roman"/>
          <w:bCs/>
          <w:noProof/>
          <w:sz w:val="20"/>
          <w:szCs w:val="20"/>
        </w:rPr>
        <w:t>=</w:t>
      </w:r>
      <w:r w:rsidRPr="00A53157">
        <w:rPr>
          <w:rFonts w:ascii="Palatino Linotype" w:eastAsia="Microsoft YaHei UI" w:hAnsi="Palatino Linotype" w:cs="Times New Roman"/>
          <w:color w:val="000000"/>
          <w:sz w:val="20"/>
          <w:szCs w:val="20"/>
        </w:rPr>
        <w:t>linprog(</w:t>
      </w:r>
      <w:r w:rsidRPr="00A53157">
        <w:rPr>
          <w:rFonts w:ascii="Palatino Linotype" w:eastAsia="Microsoft YaHei UI" w:hAnsi="Palatino Linotype" w:cs="Times New Roman"/>
          <w:b/>
          <w:color w:val="000000"/>
          <w:sz w:val="20"/>
          <w:szCs w:val="20"/>
        </w:rPr>
        <w:t>obj</w:t>
      </w:r>
      <w:r w:rsidRPr="00A53157">
        <w:rPr>
          <w:rFonts w:ascii="Palatino Linotype" w:eastAsia="Microsoft YaHei UI" w:hAnsi="Palatino Linotype" w:cs="Times New Roman"/>
          <w:color w:val="000000"/>
          <w:sz w:val="20"/>
          <w:szCs w:val="20"/>
        </w:rPr>
        <w:t>,[],[],</w:t>
      </w:r>
      <w:r w:rsidRPr="00A53157">
        <w:rPr>
          <w:rFonts w:ascii="Palatino Linotype" w:eastAsia="Microsoft YaHei UI" w:hAnsi="Palatino Linotype" w:cs="Times New Roman"/>
          <w:b/>
          <w:color w:val="000000"/>
          <w:sz w:val="20"/>
          <w:szCs w:val="20"/>
        </w:rPr>
        <w:t>S</w:t>
      </w:r>
      <w:r w:rsidRPr="00A53157">
        <w:rPr>
          <w:rFonts w:ascii="Palatino Linotype" w:eastAsia="Microsoft YaHei UI" w:hAnsi="Palatino Linotype" w:cs="Times New Roman"/>
          <w:color w:val="000000"/>
          <w:sz w:val="20"/>
          <w:szCs w:val="20"/>
        </w:rPr>
        <w:t>,</w:t>
      </w:r>
      <w:r w:rsidRPr="00A53157">
        <w:rPr>
          <w:rFonts w:ascii="Palatino Linotype" w:eastAsia="Microsoft YaHei UI" w:hAnsi="Palatino Linotype" w:cs="Times New Roman"/>
          <w:b/>
          <w:noProof/>
          <w:color w:val="000000"/>
          <w:sz w:val="20"/>
          <w:szCs w:val="20"/>
        </w:rPr>
        <w:t>beq</w:t>
      </w:r>
      <w:r w:rsidRPr="00A53157">
        <w:rPr>
          <w:rFonts w:ascii="Palatino Linotype" w:eastAsia="Microsoft YaHei UI" w:hAnsi="Palatino Linotype" w:cs="Times New Roman"/>
          <w:color w:val="000000"/>
          <w:sz w:val="20"/>
          <w:szCs w:val="20"/>
        </w:rPr>
        <w:t>,</w:t>
      </w:r>
      <w:r w:rsidRPr="00A53157">
        <w:rPr>
          <w:rFonts w:ascii="Palatino Linotype" w:eastAsia="Microsoft YaHei UI" w:hAnsi="Palatino Linotype" w:cs="Times New Roman"/>
          <w:b/>
          <w:color w:val="000000"/>
          <w:sz w:val="20"/>
          <w:szCs w:val="20"/>
        </w:rPr>
        <w:t>lb</w:t>
      </w:r>
      <w:r w:rsidRPr="00A53157">
        <w:rPr>
          <w:rFonts w:ascii="Palatino Linotype" w:eastAsia="Microsoft YaHei UI" w:hAnsi="Palatino Linotype" w:cs="Times New Roman"/>
          <w:color w:val="000000"/>
          <w:sz w:val="20"/>
          <w:szCs w:val="20"/>
        </w:rPr>
        <w:t>,</w:t>
      </w:r>
      <w:r w:rsidRPr="00A53157">
        <w:rPr>
          <w:rFonts w:ascii="Palatino Linotype" w:eastAsia="Microsoft YaHei UI" w:hAnsi="Palatino Linotype" w:cs="Times New Roman"/>
          <w:b/>
          <w:noProof/>
          <w:color w:val="000000"/>
          <w:sz w:val="20"/>
          <w:szCs w:val="20"/>
        </w:rPr>
        <w:t>ub</w:t>
      </w:r>
      <w:r w:rsidRPr="00A53157">
        <w:rPr>
          <w:rFonts w:ascii="Palatino Linotype" w:eastAsia="Microsoft YaHei UI" w:hAnsi="Palatino Linotype" w:cs="Times New Roman"/>
          <w:color w:val="000000"/>
          <w:sz w:val="20"/>
          <w:szCs w:val="20"/>
        </w:rPr>
        <w:t>)</w:t>
      </w:r>
    </w:p>
    <w:p w:rsidR="00A53157" w:rsidRDefault="008E6C43" w:rsidP="00A53157">
      <w:pPr>
        <w:pStyle w:val="ae"/>
        <w:tabs>
          <w:tab w:val="left" w:pos="2100"/>
        </w:tabs>
        <w:snapToGrid w:val="0"/>
        <w:spacing w:after="120" w:line="240" w:lineRule="atLeast"/>
        <w:ind w:left="0"/>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where </w:t>
      </w:r>
      <w:r w:rsidRPr="00A53157">
        <w:rPr>
          <w:rFonts w:ascii="Palatino Linotype" w:eastAsiaTheme="majorEastAsia" w:hAnsi="Palatino Linotype" w:cs="Times New Roman"/>
          <w:b/>
          <w:bCs/>
          <w:noProof/>
          <w:sz w:val="20"/>
          <w:szCs w:val="20"/>
        </w:rPr>
        <w:t>v</w:t>
      </w:r>
      <w:r w:rsidRPr="00A53157">
        <w:rPr>
          <w:rFonts w:ascii="Palatino Linotype" w:eastAsiaTheme="majorEastAsia" w:hAnsi="Palatino Linotype" w:cs="Times New Roman"/>
          <w:bCs/>
          <w:noProof/>
          <w:sz w:val="20"/>
          <w:szCs w:val="20"/>
        </w:rPr>
        <w:t xml:space="preserve"> is the resulting flux distribution vector of size </w:t>
      </w:r>
      <w:r w:rsidRPr="00A53157">
        <w:rPr>
          <w:rFonts w:ascii="Palatino Linotype" w:eastAsiaTheme="majorEastAsia" w:hAnsi="Palatino Linotype" w:cs="Times New Roman"/>
          <w:b/>
          <w:bCs/>
          <w:noProof/>
          <w:sz w:val="20"/>
          <w:szCs w:val="20"/>
        </w:rPr>
        <w:t>n</w:t>
      </w:r>
      <w:r w:rsidRPr="00A53157">
        <w:rPr>
          <w:rFonts w:ascii="Palatino Linotype" w:eastAsiaTheme="majorEastAsia" w:hAnsi="Palatino Linotype" w:cs="Times New Roman"/>
          <w:bCs/>
          <w:noProof/>
          <w:sz w:val="20"/>
          <w:szCs w:val="20"/>
        </w:rPr>
        <w:t>×1</w:t>
      </w:r>
    </w:p>
    <w:p w:rsidR="008E6C43" w:rsidRPr="00A53157" w:rsidRDefault="008E6C43" w:rsidP="00A53157">
      <w:pPr>
        <w:pStyle w:val="ae"/>
        <w:numPr>
          <w:ilvl w:val="0"/>
          <w:numId w:val="31"/>
        </w:numPr>
        <w:tabs>
          <w:tab w:val="left" w:pos="2100"/>
        </w:tabs>
        <w:snapToGrid w:val="0"/>
        <w:spacing w:after="120" w:line="240" w:lineRule="atLeast"/>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By using the for-loop in MATLAB, repeat the Step 6 to 9 for all time-series extracellular fluxes to obtain time-series flux distributons, from which we can create a time profile of each of the intracellular fluxes.</w:t>
      </w:r>
    </w:p>
    <w:p w:rsidR="008E6C43" w:rsidRPr="00A53157" w:rsidRDefault="008E6C43" w:rsidP="00A53157">
      <w:pPr>
        <w:pStyle w:val="1"/>
        <w:numPr>
          <w:ilvl w:val="0"/>
          <w:numId w:val="32"/>
        </w:numPr>
        <w:spacing w:before="0" w:after="120" w:line="240" w:lineRule="atLeast"/>
        <w:ind w:left="0" w:firstLine="0"/>
        <w:rPr>
          <w:rFonts w:ascii="Palatino Linotype" w:hAnsi="Palatino Linotype" w:cs="Times New Roman"/>
          <w:color w:val="auto"/>
          <w:sz w:val="20"/>
          <w:szCs w:val="20"/>
        </w:rPr>
      </w:pPr>
      <w:bookmarkStart w:id="16" w:name="_Toc38967806"/>
      <w:bookmarkStart w:id="17" w:name="_Toc38967894"/>
      <w:r w:rsidRPr="00A53157">
        <w:rPr>
          <w:rFonts w:ascii="Palatino Linotype" w:hAnsi="Palatino Linotype" w:cs="Times New Roman"/>
          <w:color w:val="auto"/>
          <w:sz w:val="20"/>
          <w:szCs w:val="20"/>
        </w:rPr>
        <w:t>Thermodynamic analysis problem formulation</w:t>
      </w:r>
      <w:bookmarkEnd w:id="16"/>
      <w:bookmarkEnd w:id="17"/>
      <w:r w:rsidRPr="00A53157">
        <w:rPr>
          <w:rFonts w:ascii="Palatino Linotype" w:hAnsi="Palatino Linotype" w:cs="Times New Roman"/>
          <w:color w:val="auto"/>
          <w:sz w:val="20"/>
          <w:szCs w:val="20"/>
        </w:rPr>
        <w:t xml:space="preserve"> </w:t>
      </w:r>
    </w:p>
    <w:p w:rsidR="008E6C43" w:rsidRPr="00A53157" w:rsidRDefault="008E6C43" w:rsidP="00A53157">
      <w:pPr>
        <w:tabs>
          <w:tab w:val="left" w:pos="2100"/>
        </w:tabs>
        <w:snapToGrid w:val="0"/>
        <w:spacing w:after="120" w:line="240" w:lineRule="atLeast"/>
        <w:jc w:val="both"/>
        <w:rPr>
          <w:rFonts w:ascii="Palatino Linotype" w:eastAsiaTheme="majorEastAsia" w:hAnsi="Palatino Linotype" w:cs="Times New Roman"/>
          <w:bCs/>
          <w:i/>
          <w:noProof/>
          <w:color w:val="FF0000"/>
          <w:sz w:val="20"/>
          <w:szCs w:val="20"/>
        </w:rPr>
      </w:pPr>
      <w:r w:rsidRPr="00A53157">
        <w:rPr>
          <w:rFonts w:ascii="Palatino Linotype" w:eastAsiaTheme="majorEastAsia" w:hAnsi="Palatino Linotype" w:cs="Times New Roman"/>
          <w:bCs/>
          <w:noProof/>
          <w:sz w:val="20"/>
          <w:szCs w:val="20"/>
        </w:rPr>
        <w:t xml:space="preserve">For thermodynamic analysis, thermodynamic-based flux estimation (TBFE) was used </w:t>
      </w:r>
      <w:r w:rsidRPr="00A53157">
        <w:rPr>
          <w:rFonts w:ascii="Palatino Linotype" w:eastAsiaTheme="majorEastAsia" w:hAnsi="Palatino Linotype" w:cs="Times New Roman"/>
          <w:bCs/>
          <w:i/>
          <w:noProof/>
          <w:sz w:val="20"/>
          <w:szCs w:val="20"/>
        </w:rPr>
        <w:fldChar w:fldCharType="begin" w:fldLock="1"/>
      </w:r>
      <w:r w:rsidR="005F49D2">
        <w:rPr>
          <w:rFonts w:ascii="Palatino Linotype" w:eastAsiaTheme="majorEastAsia" w:hAnsi="Palatino Linotype" w:cs="Times New Roman"/>
          <w:bCs/>
          <w:noProof/>
          <w:sz w:val="20"/>
          <w:szCs w:val="20"/>
        </w:rPr>
        <w:instrText>ADDIN CSL_CITATION {"citationItems":[{"id":"ITEM-1","itemData":{"DOI":"10.1016/j.bej.2015.09.026","ISBN":"4416130643","ISSN":"1873295X","abstract":"Thermodynamically constrained stoichiometric-based models have been widely used for the estimation of feasible flux distributions of a metabolic network. The prediction of a zero net flux through a reaction indicates that this reaction is either blocked (the enzyme is absent) or at equilibrium (the enzyme is present but the Gibbs free energy change of the reaction is zero). The estimation of the thermodynamic equilibrium of a reaction requires the exact knowledge of environmental conditions and metabolites' concentrations. This information, however, is not always available. Here, the effect of considering that a reaction is at equilibrium instead of being blocked on the metabolic flux distribution is analysed. The central carbon metabolism of Actinobacillus succinogenes for the production of succinic acid from glycerol has been used as case study, based on results from experiments in 1.8. L batch bioreactors. The impact of changes in ionic strength (I), temperature (T), intracellular pH. c and medium pH. e was also investigated, revealing that only I and T affect the prediction of flux distributions compared with those obtained at standard biological conditions when zero flux reactions are considered either as blocked or at equilibrium. In general, the range of fluxes estimated for the equilibrium case is narrower than that for the blocked case.","author":[{"dropping-particle":"","family":"Angeles-Martinez","given":"L.","non-dropping-particle":"","parse-names":false,"suffix":""},{"dropping-particle":"","family":"Theodoropoulos","given":"C.","non-dropping-particle":"","parse-names":false,"suffix":""}],"container-title":"Biochemical Engineering Journal","id":"ITEM-1","issued":{"date-parts":[["2016"]]},"page":"347-357","publisher":"Elsevier B.V.","title":"Estimation of flux distribution in metabolic networks accounting for thermodynamic constraints: The effect of equilibrium vs. blocked reactions","type":"article-journal","volume":"105"},"uris":["http://www.mendeley.com/documents/?uuid=62fbe139-bc20-4a70-8704-d43404eda365"]}],"mendeley":{"formattedCitation":"[1]","plainTextFormattedCitation":"[1]","previouslyFormattedCitation":"[1]"},"properties":{"noteIndex":0},"schema":"https://github.com/citation-style-language/schema/raw/master/csl-citation.json"}</w:instrText>
      </w:r>
      <w:r w:rsidRPr="00A53157">
        <w:rPr>
          <w:rFonts w:ascii="Palatino Linotype" w:eastAsiaTheme="majorEastAsia" w:hAnsi="Palatino Linotype" w:cs="Times New Roman"/>
          <w:bCs/>
          <w:i/>
          <w:noProof/>
          <w:sz w:val="20"/>
          <w:szCs w:val="20"/>
        </w:rPr>
        <w:fldChar w:fldCharType="separate"/>
      </w:r>
      <w:r w:rsidR="005F49D2" w:rsidRPr="005F49D2">
        <w:rPr>
          <w:rFonts w:ascii="Palatino Linotype" w:eastAsiaTheme="majorEastAsia" w:hAnsi="Palatino Linotype" w:cs="Times New Roman"/>
          <w:bCs/>
          <w:noProof/>
          <w:sz w:val="20"/>
          <w:szCs w:val="20"/>
        </w:rPr>
        <w:t>[1]</w:t>
      </w:r>
      <w:r w:rsidRPr="00A53157">
        <w:rPr>
          <w:rFonts w:ascii="Palatino Linotype" w:eastAsiaTheme="majorEastAsia" w:hAnsi="Palatino Linotype" w:cs="Times New Roman"/>
          <w:bCs/>
          <w:i/>
          <w:noProof/>
          <w:sz w:val="20"/>
          <w:szCs w:val="20"/>
        </w:rPr>
        <w:fldChar w:fldCharType="end"/>
      </w:r>
      <w:r w:rsidRPr="00A53157">
        <w:rPr>
          <w:rFonts w:ascii="Palatino Linotype" w:eastAsiaTheme="majorEastAsia" w:hAnsi="Palatino Linotype" w:cs="Times New Roman"/>
          <w:bCs/>
          <w:noProof/>
          <w:sz w:val="20"/>
          <w:szCs w:val="20"/>
        </w:rPr>
        <w:t>. In this method, thermodynamic constraints were incorporated into the original linear FBA algorithm</w:t>
      </w:r>
      <w:bookmarkStart w:id="18" w:name="OLE_LINK347"/>
      <w:bookmarkStart w:id="19" w:name="OLE_LINK348"/>
      <w:r w:rsidRPr="00A53157">
        <w:rPr>
          <w:rFonts w:ascii="Palatino Linotype" w:eastAsiaTheme="majorEastAsia" w:hAnsi="Palatino Linotype" w:cs="Times New Roman"/>
          <w:bCs/>
          <w:noProof/>
          <w:sz w:val="20"/>
          <w:szCs w:val="20"/>
        </w:rPr>
        <w:t>, formulating a nonlinear optimisation problem</w:t>
      </w:r>
      <w:bookmarkEnd w:id="18"/>
      <w:bookmarkEnd w:id="19"/>
      <w:r w:rsidRPr="00A53157">
        <w:rPr>
          <w:rFonts w:ascii="Palatino Linotype" w:eastAsiaTheme="majorEastAsia" w:hAnsi="Palatino Linotype" w:cs="Times New Roman"/>
          <w:bCs/>
          <w:noProof/>
          <w:sz w:val="20"/>
          <w:szCs w:val="20"/>
        </w:rPr>
        <w:t xml:space="preserve"> (NLP). The NLP was formulated as follows:</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923"/>
      </w:tblGrid>
      <w:tr w:rsidR="008E6C43" w:rsidRPr="00A53157" w:rsidTr="00E10730">
        <w:tc>
          <w:tcPr>
            <w:tcW w:w="9039" w:type="dxa"/>
            <w:tcBorders>
              <w:bottom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bookmarkStart w:id="20" w:name="OLE_LINK485"/>
            <w:bookmarkStart w:id="21" w:name="OLE_LINK486"/>
            <w:r w:rsidRPr="00A53157">
              <w:rPr>
                <w:rFonts w:ascii="Palatino Linotype" w:eastAsiaTheme="majorEastAsia" w:hAnsi="Palatino Linotype" w:cs="Times New Roman"/>
                <w:bCs/>
                <w:noProof/>
                <w:sz w:val="20"/>
                <w:szCs w:val="20"/>
              </w:rPr>
              <w:t>Max(</w:t>
            </w:r>
            <w:r w:rsidRPr="00A53157">
              <w:rPr>
                <w:rFonts w:ascii="Palatino Linotype" w:eastAsiaTheme="majorEastAsia" w:hAnsi="Palatino Linotype" w:cs="Times New Roman"/>
                <w:b/>
                <w:bCs/>
                <w:noProof/>
                <w:sz w:val="20"/>
                <w:szCs w:val="20"/>
              </w:rPr>
              <w:t>obj</w:t>
            </w:r>
            <w:r w:rsidRPr="00A53157">
              <w:rPr>
                <w:rFonts w:ascii="Palatino Linotype" w:eastAsiaTheme="majorEastAsia" w:hAnsi="Palatino Linotype" w:cs="Times New Roman"/>
                <w:bCs/>
                <w:noProof/>
                <w:sz w:val="20"/>
                <w:szCs w:val="20"/>
              </w:rPr>
              <w:t>) / Min(</w:t>
            </w:r>
            <w:r w:rsidRPr="00A53157">
              <w:rPr>
                <w:rFonts w:ascii="Palatino Linotype" w:eastAsiaTheme="majorEastAsia" w:hAnsi="Palatino Linotype" w:cs="Times New Roman"/>
                <w:b/>
                <w:bCs/>
                <w:noProof/>
                <w:sz w:val="20"/>
                <w:szCs w:val="20"/>
              </w:rPr>
              <w:t>obj</w:t>
            </w:r>
            <w:r w:rsidRPr="00A53157">
              <w:rPr>
                <w:rFonts w:ascii="Palatino Linotype" w:eastAsiaTheme="majorEastAsia" w:hAnsi="Palatino Linotype" w:cs="Times New Roman"/>
                <w:bCs/>
                <w:noProof/>
                <w:sz w:val="20"/>
                <w:szCs w:val="20"/>
              </w:rPr>
              <w:t>)</w:t>
            </w:r>
          </w:p>
        </w:tc>
        <w:tc>
          <w:tcPr>
            <w:tcW w:w="923" w:type="dxa"/>
            <w:tcBorders>
              <w:bottom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tr w:rsidR="008E6C43" w:rsidRPr="00A53157" w:rsidTr="00E10730">
        <w:tc>
          <w:tcPr>
            <w:tcW w:w="9962" w:type="dxa"/>
            <w:gridSpan w:val="2"/>
            <w:tcBorders>
              <w:top w:val="single" w:sz="4" w:space="0" w:color="auto"/>
              <w:left w:val="single" w:sz="4" w:space="0" w:color="auto"/>
              <w:bottom w:val="single" w:sz="4" w:space="0" w:color="auto"/>
              <w:right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 xml:space="preserve">: </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 xml:space="preserve">Since the purpose of TBFE is to probe the upper and lower flux limits of all thermodynamically feasible reactions, the objective function </w:t>
            </w:r>
            <w:r w:rsidRPr="00A53157">
              <w:rPr>
                <w:rFonts w:ascii="Palatino Linotype" w:eastAsiaTheme="majorEastAsia" w:hAnsi="Palatino Linotype" w:cs="Times New Roman"/>
                <w:b/>
                <w:bCs/>
                <w:noProof/>
                <w:sz w:val="20"/>
                <w:szCs w:val="20"/>
              </w:rPr>
              <w:t>obj</w:t>
            </w:r>
            <w:r w:rsidRPr="00A53157">
              <w:rPr>
                <w:rFonts w:ascii="Palatino Linotype" w:eastAsiaTheme="majorEastAsia" w:hAnsi="Palatino Linotype" w:cs="Times New Roman"/>
                <w:bCs/>
                <w:noProof/>
                <w:sz w:val="20"/>
                <w:szCs w:val="20"/>
              </w:rPr>
              <w:t xml:space="preserve"> can be the value of any intracellular flux </w:t>
            </w:r>
            <w:r w:rsidRPr="00A53157">
              <w:rPr>
                <w:rFonts w:ascii="Palatino Linotype" w:eastAsiaTheme="majorEastAsia" w:hAnsi="Palatino Linotype" w:cs="Times New Roman"/>
                <w:b/>
                <w:bCs/>
                <w:noProof/>
                <w:sz w:val="20"/>
                <w:szCs w:val="20"/>
              </w:rPr>
              <w:t>v</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
                <w:bCs/>
                <w:noProof/>
                <w:sz w:val="20"/>
                <w:szCs w:val="20"/>
              </w:rPr>
              <w:t xml:space="preserve">. </w:t>
            </w:r>
            <w:r w:rsidRPr="00A53157">
              <w:rPr>
                <w:rFonts w:ascii="Palatino Linotype" w:eastAsiaTheme="majorEastAsia" w:hAnsi="Palatino Linotype" w:cs="Times New Roman"/>
                <w:bCs/>
                <w:noProof/>
                <w:sz w:val="20"/>
                <w:szCs w:val="20"/>
              </w:rPr>
              <w:t>The said flux limits can be obtained by performing both maximisation and minimisation for every intracellular flux.</w:t>
            </w:r>
          </w:p>
          <w:p w:rsidR="00C0173F" w:rsidRPr="00A53157" w:rsidRDefault="00C0173F"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tr w:rsidR="008E6C43" w:rsidRPr="00A53157" w:rsidTr="00E10730">
        <w:tc>
          <w:tcPr>
            <w:tcW w:w="9962" w:type="dxa"/>
            <w:gridSpan w:val="2"/>
            <w:tcBorders>
              <w:top w:val="single" w:sz="4" w:space="0" w:color="auto"/>
            </w:tcBorders>
          </w:tcPr>
          <w:p w:rsidR="00C0173F" w:rsidRPr="00A53157" w:rsidRDefault="00C0173F"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subject to</w:t>
            </w:r>
          </w:p>
        </w:tc>
      </w:tr>
      <w:tr w:rsidR="008E6C43" w:rsidRPr="00A53157" w:rsidTr="00B421E0">
        <w:tc>
          <w:tcPr>
            <w:tcW w:w="9039" w:type="dxa"/>
            <w:tcBorders>
              <w:bottom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m:oMathPara>
              <m:oMathParaPr>
                <m:jc m:val="left"/>
              </m:oMathParaPr>
              <m:oMath>
                <m:r>
                  <w:rPr>
                    <w:rFonts w:ascii="Cambria Math" w:eastAsiaTheme="majorEastAsia" w:hAnsi="Cambria Math" w:cs="Times New Roman"/>
                    <w:noProof/>
                    <w:sz w:val="20"/>
                    <w:szCs w:val="20"/>
                  </w:rPr>
                  <m:t>S∙v=0</m:t>
                </m:r>
              </m:oMath>
            </m:oMathPara>
          </w:p>
        </w:tc>
        <w:tc>
          <w:tcPr>
            <w:tcW w:w="923" w:type="dxa"/>
            <w:tcBorders>
              <w:bottom w:val="single" w:sz="4" w:space="0" w:color="auto"/>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(1)</w:t>
            </w:r>
          </w:p>
        </w:tc>
      </w:tr>
      <w:tr w:rsidR="008E6C43" w:rsidRPr="00A53157" w:rsidTr="00E10730">
        <w:tc>
          <w:tcPr>
            <w:tcW w:w="9962" w:type="dxa"/>
            <w:gridSpan w:val="2"/>
            <w:tcBorders>
              <w:top w:val="single" w:sz="4" w:space="0" w:color="auto"/>
              <w:left w:val="single" w:sz="4" w:space="0" w:color="auto"/>
              <w:bottom w:val="single" w:sz="4" w:space="0" w:color="auto"/>
              <w:right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 xml:space="preserve">: </w:t>
            </w:r>
          </w:p>
          <w:p w:rsidR="00C0173F" w:rsidRPr="00A53157" w:rsidRDefault="007E2BDF"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For t</w:t>
            </w:r>
            <w:r w:rsidR="008E6C43" w:rsidRPr="00A53157">
              <w:rPr>
                <w:rFonts w:ascii="Palatino Linotype" w:eastAsiaTheme="majorEastAsia" w:hAnsi="Palatino Linotype" w:cs="Times New Roman"/>
                <w:bCs/>
                <w:noProof/>
                <w:sz w:val="20"/>
                <w:szCs w:val="20"/>
              </w:rPr>
              <w:t>he metabolic network used in TBFE is the same as</w:t>
            </w:r>
            <w:r w:rsidRPr="00A53157">
              <w:rPr>
                <w:rFonts w:ascii="Palatino Linotype" w:eastAsiaTheme="majorEastAsia" w:hAnsi="Palatino Linotype" w:cs="Times New Roman"/>
                <w:bCs/>
                <w:noProof/>
                <w:sz w:val="20"/>
                <w:szCs w:val="20"/>
              </w:rPr>
              <w:t xml:space="preserve"> the one used initially in DFBA</w:t>
            </w:r>
          </w:p>
          <w:p w:rsidR="007E2BDF" w:rsidRPr="00A53157" w:rsidRDefault="007E2BDF"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tr w:rsidR="008E6C43" w:rsidRPr="00A53157" w:rsidTr="00B421E0">
        <w:tc>
          <w:tcPr>
            <w:tcW w:w="9039" w:type="dxa"/>
            <w:tcBorders>
              <w:top w:val="single" w:sz="4" w:space="0" w:color="auto"/>
              <w:bottom w:val="single" w:sz="4" w:space="0" w:color="auto"/>
            </w:tcBorders>
          </w:tcPr>
          <w:p w:rsidR="008E6C43" w:rsidRPr="00A53157" w:rsidRDefault="00E254BE"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m:oMathPara>
              <m:oMathParaPr>
                <m:jc m:val="left"/>
              </m:oMathParaPr>
              <m:oMath>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min,int</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int</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max,int</m:t>
                    </m:r>
                  </m:sub>
                </m:sSub>
              </m:oMath>
            </m:oMathPara>
          </w:p>
        </w:tc>
        <w:tc>
          <w:tcPr>
            <w:tcW w:w="923" w:type="dxa"/>
            <w:tcBorders>
              <w:top w:val="single" w:sz="4" w:space="0" w:color="auto"/>
              <w:bottom w:val="single" w:sz="4" w:space="0" w:color="auto"/>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(2)</w:t>
            </w:r>
          </w:p>
        </w:tc>
      </w:tr>
      <w:tr w:rsidR="008E6C43" w:rsidRPr="00A53157" w:rsidTr="00E10730">
        <w:tc>
          <w:tcPr>
            <w:tcW w:w="9962" w:type="dxa"/>
            <w:gridSpan w:val="2"/>
            <w:tcBorders>
              <w:top w:val="single" w:sz="4" w:space="0" w:color="auto"/>
              <w:left w:val="single" w:sz="4" w:space="0" w:color="auto"/>
              <w:bottom w:val="single" w:sz="4" w:space="0" w:color="auto"/>
              <w:right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bookmarkStart w:id="22" w:name="OLE_LINK115"/>
            <w:bookmarkStart w:id="23" w:name="OLE_LINK124"/>
            <w:bookmarkStart w:id="24" w:name="OLE_LINK125"/>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 xml:space="preserve">: </w:t>
            </w:r>
            <w:bookmarkEnd w:id="22"/>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 xml:space="preserve">Unknown intracellular metabolic </w:t>
            </w:r>
            <w:bookmarkEnd w:id="23"/>
            <w:bookmarkEnd w:id="24"/>
            <w:r w:rsidRPr="00A53157">
              <w:rPr>
                <w:rFonts w:ascii="Palatino Linotype" w:eastAsiaTheme="majorEastAsia" w:hAnsi="Palatino Linotype" w:cs="Times New Roman"/>
                <w:bCs/>
                <w:noProof/>
                <w:sz w:val="20"/>
                <w:szCs w:val="20"/>
              </w:rPr>
              <w:t xml:space="preserve">fluxes </w:t>
            </w:r>
            <w:r w:rsidRPr="00A53157">
              <w:rPr>
                <w:rFonts w:ascii="Palatino Linotype" w:eastAsiaTheme="majorEastAsia" w:hAnsi="Palatino Linotype" w:cs="Times New Roman"/>
                <w:b/>
                <w:bCs/>
                <w:noProof/>
                <w:sz w:val="20"/>
                <w:szCs w:val="20"/>
              </w:rPr>
              <w:t>v</w:t>
            </w:r>
            <w:r w:rsidRPr="00A53157">
              <w:rPr>
                <w:rFonts w:ascii="Palatino Linotype" w:eastAsiaTheme="majorEastAsia" w:hAnsi="Palatino Linotype" w:cs="Times New Roman"/>
                <w:b/>
                <w:bCs/>
                <w:noProof/>
                <w:sz w:val="20"/>
                <w:szCs w:val="20"/>
                <w:vertAlign w:val="subscript"/>
              </w:rPr>
              <w:t>int</w:t>
            </w:r>
            <w:r w:rsidRPr="00A53157">
              <w:rPr>
                <w:rFonts w:ascii="Palatino Linotype" w:eastAsiaTheme="majorEastAsia" w:hAnsi="Palatino Linotype" w:cs="Times New Roman"/>
                <w:bCs/>
                <w:noProof/>
                <w:sz w:val="20"/>
                <w:szCs w:val="20"/>
              </w:rPr>
              <w:t xml:space="preserve"> were constrained by an upper bound of 30 mmol/(gDCW·h) and a lower bound of -30 </w:t>
            </w:r>
            <w:bookmarkStart w:id="25" w:name="OLE_LINK148"/>
            <w:bookmarkStart w:id="26" w:name="OLE_LINK151"/>
            <w:r w:rsidRPr="00A53157">
              <w:rPr>
                <w:rFonts w:ascii="Palatino Linotype" w:eastAsiaTheme="majorEastAsia" w:hAnsi="Palatino Linotype" w:cs="Times New Roman"/>
                <w:bCs/>
                <w:noProof/>
                <w:sz w:val="20"/>
                <w:szCs w:val="20"/>
              </w:rPr>
              <w:t>mmol/(gDCW·h)</w:t>
            </w:r>
            <w:bookmarkEnd w:id="25"/>
            <w:bookmarkEnd w:id="26"/>
            <w:r w:rsidRPr="00A53157">
              <w:rPr>
                <w:rFonts w:ascii="Palatino Linotype" w:eastAsiaTheme="majorEastAsia" w:hAnsi="Palatino Linotype" w:cs="Times New Roman"/>
                <w:bCs/>
                <w:noProof/>
                <w:sz w:val="20"/>
                <w:szCs w:val="20"/>
              </w:rPr>
              <w:t xml:space="preserve"> </w:t>
            </w:r>
            <w:r w:rsidRPr="00A53157">
              <w:rPr>
                <w:rFonts w:ascii="Palatino Linotype" w:eastAsiaTheme="majorEastAsia" w:hAnsi="Palatino Linotype" w:cs="Times New Roman"/>
                <w:bCs/>
                <w:i/>
                <w:noProof/>
                <w:sz w:val="20"/>
                <w:szCs w:val="20"/>
              </w:rPr>
              <w:fldChar w:fldCharType="begin" w:fldLock="1"/>
            </w:r>
            <w:r w:rsidR="005F49D2">
              <w:rPr>
                <w:rFonts w:ascii="Palatino Linotype" w:eastAsiaTheme="majorEastAsia" w:hAnsi="Palatino Linotype" w:cs="Times New Roman"/>
                <w:bCs/>
                <w:noProof/>
                <w:sz w:val="20"/>
                <w:szCs w:val="20"/>
              </w:rPr>
              <w:instrText>ADDIN CSL_CITATION {"citationItems":[{"id":"ITEM-1","itemData":{"DOI":"10.1016/j.bej.2015.09.026","ISBN":"4416130643","ISSN":"1873295X","abstract":"Thermodynamically constrained stoichiometric-based models have been widely used for the estimation of feasible flux distributions of a metabolic network. The prediction of a zero net flux through a reaction indicates that this reaction is either blocked (the enzyme is absent) or at equilibrium (the enzyme is present but the Gibbs free energy change of the reaction is zero). The estimation of the thermodynamic equilibrium of a reaction requires the exact knowledge of environmental conditions and metabolites' concentrations. This information, however, is not always available. Here, the effect of considering that a reaction is at equilibrium instead of being blocked on the metabolic flux distribution is analysed. The central carbon metabolism of Actinobacillus succinogenes for the production of succinic acid from glycerol has been used as case study, based on results from experiments in 1.8. L batch bioreactors. The impact of changes in ionic strength (I), temperature (T), intracellular pH. c and medium pH. e was also investigated, revealing that only I and T affect the prediction of flux distributions compared with those obtained at standard biological conditions when zero flux reactions are considered either as blocked or at equilibrium. In general, the range of fluxes estimated for the equilibrium case is narrower than that for the blocked case.","author":[{"dropping-particle":"","family":"Angeles-Martinez","given":"L.","non-dropping-particle":"","parse-names":false,"suffix":""},{"dropping-particle":"","family":"Theodoropoulos","given":"C.","non-dropping-particle":"","parse-names":false,"suffix":""}],"container-title":"Biochemical Engineering Journal","id":"ITEM-1","issued":{"date-parts":[["2016"]]},"page":"347-357","publisher":"Elsevier B.V.","title":"Estimation of flux distribution in metabolic networks accounting for thermodynamic constraints: The effect of equilibrium vs. blocked reactions","type":"article-journal","volume":"105"},"uris":["http://www.mendeley.com/documents/?uuid=62fbe139-bc20-4a70-8704-d43404eda365"]}],"mendeley":{"formattedCitation":"[1]","plainTextFormattedCitation":"[1]","previouslyFormattedCitation":"[1]"},"properties":{"noteIndex":0},"schema":"https://github.com/citation-style-language/schema/raw/master/csl-citation.json"}</w:instrText>
            </w:r>
            <w:r w:rsidRPr="00A53157">
              <w:rPr>
                <w:rFonts w:ascii="Palatino Linotype" w:eastAsiaTheme="majorEastAsia" w:hAnsi="Palatino Linotype" w:cs="Times New Roman"/>
                <w:bCs/>
                <w:i/>
                <w:noProof/>
                <w:sz w:val="20"/>
                <w:szCs w:val="20"/>
              </w:rPr>
              <w:fldChar w:fldCharType="separate"/>
            </w:r>
            <w:r w:rsidR="005F49D2" w:rsidRPr="005F49D2">
              <w:rPr>
                <w:rFonts w:ascii="Palatino Linotype" w:eastAsiaTheme="majorEastAsia" w:hAnsi="Palatino Linotype" w:cs="Times New Roman"/>
                <w:bCs/>
                <w:noProof/>
                <w:sz w:val="20"/>
                <w:szCs w:val="20"/>
              </w:rPr>
              <w:t>[1]</w:t>
            </w:r>
            <w:r w:rsidRPr="00A53157">
              <w:rPr>
                <w:rFonts w:ascii="Palatino Linotype" w:eastAsiaTheme="majorEastAsia" w:hAnsi="Palatino Linotype" w:cs="Times New Roman"/>
                <w:bCs/>
                <w:i/>
                <w:noProof/>
                <w:sz w:val="20"/>
                <w:szCs w:val="20"/>
              </w:rPr>
              <w:fldChar w:fldCharType="end"/>
            </w:r>
            <w:r w:rsidRPr="00A53157">
              <w:rPr>
                <w:rFonts w:ascii="Palatino Linotype" w:eastAsiaTheme="majorEastAsia" w:hAnsi="Palatino Linotype" w:cs="Times New Roman"/>
                <w:bCs/>
                <w:noProof/>
                <w:sz w:val="20"/>
                <w:szCs w:val="20"/>
              </w:rPr>
              <w:t>, with the exception of ATP hydrolysis and 2 electron transport chains (ETC). The latter are irreversible in the first place, so their lower bounds were set to zero. ATP hydrolysis was also given a higher upper bound (100 mmol/(gDCW·h)) than the rest.</w:t>
            </w:r>
          </w:p>
          <w:p w:rsidR="00B421E0" w:rsidRPr="00A53157" w:rsidRDefault="00B421E0"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tr w:rsidR="008E6C43" w:rsidRPr="00A53157" w:rsidTr="00B421E0">
        <w:tc>
          <w:tcPr>
            <w:tcW w:w="9039" w:type="dxa"/>
            <w:tcBorders>
              <w:top w:val="single" w:sz="4" w:space="0" w:color="auto"/>
              <w:bottom w:val="single" w:sz="4" w:space="0" w:color="auto"/>
            </w:tcBorders>
          </w:tcPr>
          <w:p w:rsidR="008E6C43" w:rsidRPr="00A53157" w:rsidRDefault="00E254BE" w:rsidP="00A53157">
            <w:pPr>
              <w:tabs>
                <w:tab w:val="left" w:pos="2100"/>
              </w:tabs>
              <w:snapToGrid w:val="0"/>
              <w:spacing w:after="0" w:line="240" w:lineRule="atLeast"/>
              <w:jc w:val="both"/>
              <w:rPr>
                <w:rFonts w:ascii="Palatino Linotype" w:eastAsiaTheme="majorEastAsia" w:hAnsi="Palatino Linotype" w:cs="Times New Roman"/>
                <w:b/>
                <w:bCs/>
                <w:noProof/>
                <w:sz w:val="20"/>
                <w:szCs w:val="20"/>
              </w:rPr>
            </w:pPr>
            <m:oMathPara>
              <m:oMathParaPr>
                <m:jc m:val="left"/>
              </m:oMathParaPr>
              <m:oMath>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ext</m:t>
                    </m:r>
                  </m:sub>
                </m:sSub>
                <m:r>
                  <w:rPr>
                    <w:rFonts w:ascii="Cambria Math" w:eastAsiaTheme="majorEastAsia" w:hAnsi="Cambria Math" w:cs="Times New Roman"/>
                    <w:noProof/>
                    <w:sz w:val="20"/>
                    <w:szCs w:val="20"/>
                  </w:rPr>
                  <m:t>-δ</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ext</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ext</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ext</m:t>
                    </m:r>
                  </m:sub>
                </m:sSub>
                <m:r>
                  <w:rPr>
                    <w:rFonts w:ascii="Cambria Math" w:eastAsiaTheme="majorEastAsia" w:hAnsi="Cambria Math" w:cs="Times New Roman"/>
                    <w:noProof/>
                    <w:sz w:val="20"/>
                    <w:szCs w:val="20"/>
                  </w:rPr>
                  <m:t>+δ</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ext</m:t>
                    </m:r>
                  </m:sub>
                </m:sSub>
              </m:oMath>
            </m:oMathPara>
          </w:p>
        </w:tc>
        <w:tc>
          <w:tcPr>
            <w:tcW w:w="923" w:type="dxa"/>
            <w:tcBorders>
              <w:top w:val="single" w:sz="4" w:space="0" w:color="auto"/>
              <w:bottom w:val="single" w:sz="4" w:space="0" w:color="auto"/>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
                <w:bCs/>
                <w:noProof/>
                <w:sz w:val="20"/>
                <w:szCs w:val="20"/>
              </w:rPr>
            </w:pPr>
            <w:r w:rsidRPr="00A53157">
              <w:rPr>
                <w:rFonts w:ascii="Palatino Linotype" w:eastAsiaTheme="majorEastAsia" w:hAnsi="Palatino Linotype" w:cs="Times New Roman"/>
                <w:bCs/>
                <w:noProof/>
                <w:sz w:val="20"/>
                <w:szCs w:val="20"/>
              </w:rPr>
              <w:t>(3)</w:t>
            </w:r>
          </w:p>
        </w:tc>
      </w:tr>
      <w:tr w:rsidR="008E6C43" w:rsidRPr="00A53157" w:rsidTr="00E10730">
        <w:tc>
          <w:tcPr>
            <w:tcW w:w="9962" w:type="dxa"/>
            <w:gridSpan w:val="2"/>
            <w:tcBorders>
              <w:top w:val="single" w:sz="4" w:space="0" w:color="auto"/>
              <w:left w:val="single" w:sz="4" w:space="0" w:color="auto"/>
              <w:bottom w:val="single" w:sz="4" w:space="0" w:color="auto"/>
              <w:right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 xml:space="preserve">: </w:t>
            </w:r>
          </w:p>
          <w:p w:rsidR="00B421E0"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The extracellular metabolic fluxes were const</w:t>
            </w:r>
            <w:r w:rsidR="00B421E0" w:rsidRPr="00A53157">
              <w:rPr>
                <w:rFonts w:ascii="Palatino Linotype" w:eastAsiaTheme="majorEastAsia" w:hAnsi="Palatino Linotype" w:cs="Times New Roman"/>
                <w:bCs/>
                <w:noProof/>
                <w:sz w:val="20"/>
                <w:szCs w:val="20"/>
              </w:rPr>
              <w:t>rained the same way as DFBA (See Section 1)</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  </w:t>
            </w:r>
          </w:p>
        </w:tc>
      </w:tr>
      <w:tr w:rsidR="008E6C43" w:rsidRPr="00A53157" w:rsidTr="00B421E0">
        <w:tc>
          <w:tcPr>
            <w:tcW w:w="9039" w:type="dxa"/>
            <w:tcBorders>
              <w:top w:val="single" w:sz="4" w:space="0" w:color="auto"/>
              <w:bottom w:val="single" w:sz="4" w:space="0" w:color="auto"/>
            </w:tcBorders>
          </w:tcPr>
          <w:p w:rsidR="008E6C43" w:rsidRPr="00A53157" w:rsidRDefault="00E254BE"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m:oMathPara>
              <m:oMathParaPr>
                <m:jc m:val="left"/>
              </m:oMathParaPr>
              <m:oMath>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C</m:t>
                    </m:r>
                  </m:e>
                  <m:sub>
                    <m:r>
                      <w:rPr>
                        <w:rFonts w:ascii="Cambria Math" w:eastAsiaTheme="majorEastAsia" w:hAnsi="Cambria Math" w:cs="Times New Roman"/>
                        <w:noProof/>
                        <w:sz w:val="20"/>
                        <w:szCs w:val="20"/>
                      </w:rPr>
                      <m:t>min,i</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C</m:t>
                    </m:r>
                  </m:e>
                  <m:sub>
                    <m:r>
                      <w:rPr>
                        <w:rFonts w:ascii="Cambria Math" w:eastAsiaTheme="majorEastAsia" w:hAnsi="Cambria Math" w:cs="Times New Roman"/>
                        <w:noProof/>
                        <w:sz w:val="20"/>
                        <w:szCs w:val="20"/>
                      </w:rPr>
                      <m:t>i</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C</m:t>
                    </m:r>
                  </m:e>
                  <m:sub>
                    <m:r>
                      <w:rPr>
                        <w:rFonts w:ascii="Cambria Math" w:eastAsiaTheme="majorEastAsia" w:hAnsi="Cambria Math" w:cs="Times New Roman"/>
                        <w:noProof/>
                        <w:sz w:val="20"/>
                        <w:szCs w:val="20"/>
                      </w:rPr>
                      <m:t>max,i</m:t>
                    </m:r>
                  </m:sub>
                </m:sSub>
              </m:oMath>
            </m:oMathPara>
          </w:p>
        </w:tc>
        <w:tc>
          <w:tcPr>
            <w:tcW w:w="923" w:type="dxa"/>
            <w:tcBorders>
              <w:top w:val="single" w:sz="4" w:space="0" w:color="auto"/>
              <w:bottom w:val="single" w:sz="4" w:space="0" w:color="auto"/>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(4)</w:t>
            </w:r>
          </w:p>
        </w:tc>
      </w:tr>
      <w:tr w:rsidR="008E6C43" w:rsidRPr="00A53157" w:rsidTr="00E10730">
        <w:tc>
          <w:tcPr>
            <w:tcW w:w="9962" w:type="dxa"/>
            <w:gridSpan w:val="2"/>
            <w:tcBorders>
              <w:top w:val="single" w:sz="4" w:space="0" w:color="auto"/>
              <w:left w:val="single" w:sz="4" w:space="0" w:color="auto"/>
              <w:bottom w:val="single" w:sz="4" w:space="0" w:color="auto"/>
              <w:right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bookmarkStart w:id="27" w:name="OLE_LINK118"/>
            <w:bookmarkStart w:id="28" w:name="OLE_LINK119"/>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w:t>
            </w:r>
            <w:bookmarkEnd w:id="27"/>
            <w:bookmarkEnd w:id="28"/>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Direct calculation of Gibbs free energy requires intracellular concentrations of reactants as well as products. This effort can be hindered by the unavailability of accurate in vivo metabolite measurements. In NLP, however, knowing the exact values of intracellular metabolite concentration is unnecessary. Instead, we can assume a range of physiological concentra</w:t>
            </w:r>
            <w:bookmarkStart w:id="29" w:name="OLE_LINK126"/>
            <w:bookmarkStart w:id="30" w:name="OLE_LINK127"/>
            <w:r w:rsidRPr="00A53157">
              <w:rPr>
                <w:rFonts w:ascii="Palatino Linotype" w:eastAsiaTheme="majorEastAsia" w:hAnsi="Palatino Linotype" w:cs="Times New Roman"/>
                <w:bCs/>
                <w:noProof/>
                <w:sz w:val="20"/>
                <w:szCs w:val="20"/>
              </w:rPr>
              <w:t xml:space="preserve">tion for any intracellular metabolite </w:t>
            </w:r>
            <w:r w:rsidRPr="00A53157">
              <w:rPr>
                <w:rFonts w:ascii="Palatino Linotype" w:eastAsiaTheme="majorEastAsia" w:hAnsi="Palatino Linotype" w:cs="Times New Roman"/>
                <w:b/>
                <w:bCs/>
                <w:noProof/>
                <w:sz w:val="20"/>
                <w:szCs w:val="20"/>
              </w:rPr>
              <w:t>i</w:t>
            </w:r>
            <w:r w:rsidRPr="00A53157">
              <w:rPr>
                <w:rFonts w:ascii="Palatino Linotype" w:eastAsiaTheme="majorEastAsia" w:hAnsi="Palatino Linotype" w:cs="Times New Roman"/>
                <w:bCs/>
                <w:noProof/>
                <w:sz w:val="20"/>
                <w:szCs w:val="20"/>
              </w:rPr>
              <w:t xml:space="preserve"> (10</w:t>
            </w:r>
            <w:r w:rsidRPr="00A53157">
              <w:rPr>
                <w:rFonts w:ascii="Palatino Linotype" w:eastAsiaTheme="majorEastAsia" w:hAnsi="Palatino Linotype" w:cs="Times New Roman"/>
                <w:bCs/>
                <w:noProof/>
                <w:sz w:val="20"/>
                <w:szCs w:val="20"/>
                <w:vertAlign w:val="superscript"/>
              </w:rPr>
              <w:t>-5</w:t>
            </w:r>
            <w:r w:rsidRPr="00A53157">
              <w:rPr>
                <w:rFonts w:ascii="Palatino Linotype" w:eastAsiaTheme="majorEastAsia" w:hAnsi="Palatino Linotype" w:cs="Times New Roman"/>
                <w:bCs/>
                <w:noProof/>
                <w:sz w:val="20"/>
                <w:szCs w:val="20"/>
              </w:rPr>
              <w:t>M &lt; C</w:t>
            </w:r>
            <w:r w:rsidRPr="00A53157">
              <w:rPr>
                <w:rFonts w:ascii="Palatino Linotype" w:eastAsiaTheme="majorEastAsia" w:hAnsi="Palatino Linotype" w:cs="Times New Roman"/>
                <w:bCs/>
                <w:noProof/>
                <w:sz w:val="20"/>
                <w:szCs w:val="20"/>
                <w:vertAlign w:val="subscript"/>
              </w:rPr>
              <w:t>met</w:t>
            </w:r>
            <w:r w:rsidRPr="00A53157">
              <w:rPr>
                <w:rFonts w:ascii="Palatino Linotype" w:eastAsiaTheme="majorEastAsia" w:hAnsi="Palatino Linotype" w:cs="Times New Roman"/>
                <w:bCs/>
                <w:noProof/>
                <w:sz w:val="20"/>
                <w:szCs w:val="20"/>
              </w:rPr>
              <w:t xml:space="preserve"> &lt;0.02M</w:t>
            </w:r>
            <w:bookmarkEnd w:id="29"/>
            <w:bookmarkEnd w:id="30"/>
            <w:r w:rsidRPr="00A53157">
              <w:rPr>
                <w:rFonts w:ascii="Palatino Linotype" w:eastAsiaTheme="majorEastAsia" w:hAnsi="Palatino Linotype" w:cs="Times New Roman"/>
                <w:bCs/>
                <w:noProof/>
                <w:sz w:val="20"/>
                <w:szCs w:val="20"/>
              </w:rPr>
              <w:t xml:space="preserve">) </w:t>
            </w:r>
            <w:r w:rsidRPr="00A53157">
              <w:rPr>
                <w:rFonts w:ascii="Palatino Linotype" w:eastAsiaTheme="majorEastAsia" w:hAnsi="Palatino Linotype" w:cs="Times New Roman"/>
                <w:bCs/>
                <w:i/>
                <w:noProof/>
                <w:sz w:val="20"/>
                <w:szCs w:val="20"/>
              </w:rPr>
              <w:fldChar w:fldCharType="begin" w:fldLock="1"/>
            </w:r>
            <w:r w:rsidR="005F49D2">
              <w:rPr>
                <w:rFonts w:ascii="Palatino Linotype" w:eastAsiaTheme="majorEastAsia" w:hAnsi="Palatino Linotype" w:cs="Times New Roman"/>
                <w:bCs/>
                <w:noProof/>
                <w:sz w:val="20"/>
                <w:szCs w:val="20"/>
              </w:rPr>
              <w:instrText>ADDIN CSL_CITATION {"citationItems":[{"id":"ITEM-1","itemData":{"DOI":"10.1529/biophysj.106.093138","ISBN":"0006-3495","ISSN":"00063495","PMID":"17172310","author":[{"dropping-particle":"","family":"Henry","given":"Christopher S.","non-dropping-particle":"","parse-names":false,"suffix":""},{"dropping-particle":"","family":"Broadbelt","given":"Linda J.","non-dropping-particle":"","parse-names":false,"suffix":""},{"dropping-particle":"","family":"Hatzimanikatis","given":"Vassily","non-dropping-particle":"","parse-names":false,"suffix":""}],"container-title":"Biophysical Journal","id":"ITEM-1","issue":"5","issued":{"date-parts":[["2007"]]},"page":"1792-1805","publisher":"Elsevier","title":"Thermodynamics-Based Metabolic Flux Analysis","type":"article-journal","volume":"92"},"uris":["http://www.mendeley.com/documents/?uuid=92992b13-3b6f-4ca7-87b5-41e8883ff6f3"]}],"mendeley":{"formattedCitation":"[2]","plainTextFormattedCitation":"[2]","previouslyFormattedCitation":"[2]"},"properties":{"noteIndex":0},"schema":"https://github.com/citation-style-language/schema/raw/master/csl-citation.json"}</w:instrText>
            </w:r>
            <w:r w:rsidRPr="00A53157">
              <w:rPr>
                <w:rFonts w:ascii="Palatino Linotype" w:eastAsiaTheme="majorEastAsia" w:hAnsi="Palatino Linotype" w:cs="Times New Roman"/>
                <w:bCs/>
                <w:i/>
                <w:noProof/>
                <w:sz w:val="20"/>
                <w:szCs w:val="20"/>
              </w:rPr>
              <w:fldChar w:fldCharType="separate"/>
            </w:r>
            <w:r w:rsidR="005F49D2" w:rsidRPr="005F49D2">
              <w:rPr>
                <w:rFonts w:ascii="Palatino Linotype" w:eastAsiaTheme="majorEastAsia" w:hAnsi="Palatino Linotype" w:cs="Times New Roman"/>
                <w:bCs/>
                <w:noProof/>
                <w:sz w:val="20"/>
                <w:szCs w:val="20"/>
              </w:rPr>
              <w:t>[2]</w:t>
            </w:r>
            <w:r w:rsidRPr="00A53157">
              <w:rPr>
                <w:rFonts w:ascii="Palatino Linotype" w:eastAsiaTheme="majorEastAsia" w:hAnsi="Palatino Linotype" w:cs="Times New Roman"/>
                <w:bCs/>
                <w:i/>
                <w:noProof/>
                <w:sz w:val="20"/>
                <w:szCs w:val="20"/>
              </w:rPr>
              <w:fldChar w:fldCharType="end"/>
            </w:r>
            <w:r w:rsidRPr="00A53157">
              <w:rPr>
                <w:rFonts w:ascii="Palatino Linotype" w:eastAsiaTheme="majorEastAsia" w:hAnsi="Palatino Linotype" w:cs="Times New Roman"/>
                <w:bCs/>
                <w:noProof/>
                <w:sz w:val="20"/>
                <w:szCs w:val="20"/>
              </w:rPr>
              <w:t xml:space="preserve"> </w:t>
            </w:r>
          </w:p>
          <w:p w:rsidR="00B421E0" w:rsidRPr="00A53157" w:rsidRDefault="00B421E0"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tr w:rsidR="008E6C43" w:rsidRPr="00A53157" w:rsidTr="00B421E0">
        <w:tc>
          <w:tcPr>
            <w:tcW w:w="9039" w:type="dxa"/>
            <w:tcBorders>
              <w:top w:val="single" w:sz="4" w:space="0" w:color="auto"/>
              <w:bottom w:val="single" w:sz="4" w:space="0" w:color="auto"/>
            </w:tcBorders>
          </w:tcPr>
          <w:p w:rsidR="008E6C43" w:rsidRPr="00A53157" w:rsidRDefault="00E254BE"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m:oMathPara>
              <m:oMathParaPr>
                <m:jc m:val="left"/>
              </m:oMathParaPr>
              <m:oMath>
                <m:nary>
                  <m:naryPr>
                    <m:chr m:val="∑"/>
                    <m:limLoc m:val="undOvr"/>
                    <m:supHide m:val="1"/>
                    <m:ctrlPr>
                      <w:rPr>
                        <w:rFonts w:ascii="Cambria Math" w:eastAsiaTheme="majorEastAsia" w:hAnsi="Cambria Math" w:cs="Times New Roman"/>
                        <w:bCs/>
                        <w:noProof/>
                        <w:sz w:val="20"/>
                        <w:szCs w:val="20"/>
                      </w:rPr>
                    </m:ctrlPr>
                  </m:naryPr>
                  <m:sub>
                    <m:r>
                      <w:rPr>
                        <w:rFonts w:ascii="Cambria Math" w:eastAsiaTheme="majorEastAsia" w:hAnsi="Cambria Math" w:cs="Times New Roman"/>
                        <w:noProof/>
                        <w:sz w:val="20"/>
                        <w:szCs w:val="20"/>
                      </w:rPr>
                      <m:t>i=metabolites</m:t>
                    </m:r>
                  </m:sub>
                  <m:sup/>
                  <m:e>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C</m:t>
                        </m:r>
                      </m:e>
                      <m:sub>
                        <m:r>
                          <w:rPr>
                            <w:rFonts w:ascii="Cambria Math" w:eastAsiaTheme="majorEastAsia" w:hAnsi="Cambria Math" w:cs="Times New Roman"/>
                            <w:noProof/>
                            <w:sz w:val="20"/>
                            <w:szCs w:val="20"/>
                          </w:rPr>
                          <m:t>i</m:t>
                        </m:r>
                      </m:sub>
                    </m:sSub>
                  </m:e>
                </m:nary>
                <m:r>
                  <w:rPr>
                    <w:rFonts w:ascii="Cambria Math" w:eastAsiaTheme="majorEastAsia" w:hAnsi="Cambria Math" w:cs="Times New Roman"/>
                    <w:noProof/>
                    <w:sz w:val="20"/>
                    <w:szCs w:val="20"/>
                  </w:rPr>
                  <m:t>≤0.3M</m:t>
                </m:r>
              </m:oMath>
            </m:oMathPara>
          </w:p>
        </w:tc>
        <w:tc>
          <w:tcPr>
            <w:tcW w:w="923" w:type="dxa"/>
            <w:tcBorders>
              <w:top w:val="single" w:sz="4" w:space="0" w:color="auto"/>
              <w:bottom w:val="single" w:sz="4" w:space="0" w:color="auto"/>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(5)</w:t>
            </w:r>
          </w:p>
        </w:tc>
      </w:tr>
      <w:tr w:rsidR="008E6C43" w:rsidRPr="00A53157" w:rsidTr="00E10730">
        <w:tc>
          <w:tcPr>
            <w:tcW w:w="9962" w:type="dxa"/>
            <w:gridSpan w:val="2"/>
            <w:tcBorders>
              <w:top w:val="single" w:sz="4" w:space="0" w:color="auto"/>
              <w:left w:val="single" w:sz="4" w:space="0" w:color="auto"/>
              <w:bottom w:val="single" w:sz="4" w:space="0" w:color="auto"/>
              <w:right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w:t>
            </w:r>
          </w:p>
          <w:p w:rsidR="008E6C43" w:rsidRPr="00A53157" w:rsidRDefault="008E6C43" w:rsidP="00A53157">
            <w:pPr>
              <w:autoSpaceDE w:val="0"/>
              <w:autoSpaceDN w:val="0"/>
              <w:adjustRightIn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ArialMT" w:hAnsi="Palatino Linotype" w:cs="Times New Roman"/>
                <w:sz w:val="20"/>
                <w:szCs w:val="20"/>
              </w:rPr>
              <w:t xml:space="preserve">Due to limitations on intracellular solvent capacity and osmotic pressure, the </w:t>
            </w:r>
            <w:r w:rsidRPr="00A53157">
              <w:rPr>
                <w:rFonts w:ascii="Palatino Linotype" w:eastAsiaTheme="majorEastAsia" w:hAnsi="Palatino Linotype" w:cs="Times New Roman"/>
                <w:bCs/>
                <w:noProof/>
                <w:sz w:val="20"/>
                <w:szCs w:val="20"/>
              </w:rPr>
              <w:t xml:space="preserve">total intracellular level of metabolites is limited to 300 mM </w:t>
            </w:r>
            <w:r w:rsidRPr="00A53157">
              <w:rPr>
                <w:rFonts w:ascii="Palatino Linotype" w:eastAsiaTheme="majorEastAsia" w:hAnsi="Palatino Linotype" w:cs="Times New Roman"/>
                <w:bCs/>
                <w:i/>
                <w:noProof/>
                <w:sz w:val="20"/>
                <w:szCs w:val="20"/>
              </w:rPr>
              <w:fldChar w:fldCharType="begin" w:fldLock="1"/>
            </w:r>
            <w:r w:rsidR="005F49D2">
              <w:rPr>
                <w:rFonts w:ascii="Palatino Linotype" w:eastAsiaTheme="majorEastAsia" w:hAnsi="Palatino Linotype" w:cs="Times New Roman"/>
                <w:bCs/>
                <w:noProof/>
                <w:sz w:val="20"/>
                <w:szCs w:val="20"/>
              </w:rPr>
              <w:instrText>ADDIN CSL_CITATION {"citationItems":[{"id":"ITEM-1","itemData":{"DOI":"10.1371/journal.pone.0075370","ISBN":"1932-6203 (Electronic)\\r1932-6203 (Linking)","ISSN":"19326203","PMID":"24086517","abstract":"Steady-state metabolite concentrations in a microorganism typically span several orders of magnitude. The underlying principles governing these concentrations remain poorly understood. Here, we hypothesize that observed variation can be explained in terms of a compromise between factors that favor minimizing metabolite pool sizes (e.g. limited solvent capacity) and the need to effectively utilize existing enzymes. The latter requires adequate thermodynamic driving force in metabolic reactions so that forward flux substantially exceeds reverse flux. To test this hypothesis, we developed a method, metabolic tug-of-war (mTOW), which computes steady-state metabolite concentrations in microorganisms on a genome-scale. mTOW is shown to explain up to 55% of the observed variation in measured metabolite concentrations in E. coli and C. acetobutylicum across various growth media. Our approach, based strictly on first thermodynamic principles, is the first method that successfully predicts high-throughput metabolite concentration data in bacteria across conditions.","author":[{"dropping-particle":"","family":"Tepper","given":"Naama","non-dropping-particle":"","parse-names":false,"suffix":""},{"dropping-particle":"","family":"Noor","given":"Elad","non-dropping-particle":"","parse-names":false,"suffix":""},{"dropping-particle":"","family":"Amador-Noguez","given":"Daniel","non-dropping-particle":"","parse-names":false,"suffix":""},{"dropping-particle":"","family":"Haraldsd??ttir","given":"Hulda S.","non-dropping-particle":"","parse-names":false,"suffix":""},{"dropping-particle":"","family":"Milo","given":"Ron","non-dropping-particle":"","parse-names":false,"suffix":""},{"dropping-particle":"","family":"Rabinowitz","given":"Josh","non-dropping-particle":"","parse-names":false,"suffix":""},{"dropping-particle":"","family":"Liebermeister","given":"Wolfram","non-dropping-particle":"","parse-names":false,"suffix":""},{"dropping-particle":"","family":"Shlomi","given":"Tomer","non-dropping-particle":"","parse-names":false,"suffix":""}],"container-title":"PLoS ONE","id":"ITEM-1","issue":"9","issued":{"date-parts":[["2013"]]},"page":"1-13","title":"Steady-State Metabolite Concentrations Reflect a Balance between Maximizing Enzyme Efficiency and Minimizing Total Metabolite Load","type":"article-journal","volume":"8"},"uris":["http://www.mendeley.com/documents/?uuid=1954adc5-a971-4254-8b01-dd86e5b9c146"]}],"mendeley":{"formattedCitation":"[3]","plainTextFormattedCitation":"[3]","previouslyFormattedCitation":"[3]"},"properties":{"noteIndex":0},"schema":"https://github.com/citation-style-language/schema/raw/master/csl-citation.json"}</w:instrText>
            </w:r>
            <w:r w:rsidRPr="00A53157">
              <w:rPr>
                <w:rFonts w:ascii="Palatino Linotype" w:eastAsiaTheme="majorEastAsia" w:hAnsi="Palatino Linotype" w:cs="Times New Roman"/>
                <w:bCs/>
                <w:i/>
                <w:noProof/>
                <w:sz w:val="20"/>
                <w:szCs w:val="20"/>
              </w:rPr>
              <w:fldChar w:fldCharType="separate"/>
            </w:r>
            <w:r w:rsidR="005F49D2" w:rsidRPr="005F49D2">
              <w:rPr>
                <w:rFonts w:ascii="Palatino Linotype" w:eastAsiaTheme="majorEastAsia" w:hAnsi="Palatino Linotype" w:cs="Times New Roman"/>
                <w:bCs/>
                <w:noProof/>
                <w:sz w:val="20"/>
                <w:szCs w:val="20"/>
              </w:rPr>
              <w:t>[3]</w:t>
            </w:r>
            <w:r w:rsidRPr="00A53157">
              <w:rPr>
                <w:rFonts w:ascii="Palatino Linotype" w:eastAsiaTheme="majorEastAsia" w:hAnsi="Palatino Linotype" w:cs="Times New Roman"/>
                <w:bCs/>
                <w:i/>
                <w:noProof/>
                <w:sz w:val="20"/>
                <w:szCs w:val="20"/>
              </w:rPr>
              <w:fldChar w:fldCharType="end"/>
            </w:r>
          </w:p>
          <w:p w:rsidR="00B421E0" w:rsidRPr="00A53157" w:rsidRDefault="00B421E0" w:rsidP="00A53157">
            <w:pPr>
              <w:autoSpaceDE w:val="0"/>
              <w:autoSpaceDN w:val="0"/>
              <w:adjustRightInd w:val="0"/>
              <w:spacing w:after="0" w:line="240" w:lineRule="atLeast"/>
              <w:jc w:val="both"/>
              <w:rPr>
                <w:rFonts w:ascii="Palatino Linotype" w:eastAsia="ArialMT" w:hAnsi="Palatino Linotype" w:cs="Times New Roman"/>
                <w:i/>
                <w:iCs/>
                <w:sz w:val="20"/>
                <w:szCs w:val="20"/>
              </w:rPr>
            </w:pPr>
          </w:p>
        </w:tc>
      </w:tr>
      <w:tr w:rsidR="008E6C43" w:rsidRPr="00A53157" w:rsidTr="00B421E0">
        <w:tc>
          <w:tcPr>
            <w:tcW w:w="9039" w:type="dxa"/>
            <w:tcBorders>
              <w:top w:val="single" w:sz="4" w:space="0" w:color="auto"/>
              <w:bottom w:val="single" w:sz="4" w:space="0" w:color="auto"/>
            </w:tcBorders>
          </w:tcPr>
          <w:p w:rsidR="008E6C43" w:rsidRPr="00A53157" w:rsidRDefault="00E254BE"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m:oMathPara>
              <m:oMathParaPr>
                <m:jc m:val="left"/>
              </m:oMathParaPr>
              <m:oMath>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j</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m:t>
                    </m:r>
                  </m:e>
                  <m:sub>
                    <m:r>
                      <w:rPr>
                        <w:rFonts w:ascii="Cambria Math" w:eastAsiaTheme="majorEastAsia" w:hAnsi="Cambria Math" w:cs="Times New Roman"/>
                        <w:noProof/>
                        <w:sz w:val="20"/>
                        <w:szCs w:val="20"/>
                      </w:rPr>
                      <m:t>r</m:t>
                    </m:r>
                  </m:sub>
                </m:sSub>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G</m:t>
                    </m:r>
                  </m:e>
                  <m:sub>
                    <m:r>
                      <w:rPr>
                        <w:rFonts w:ascii="Cambria Math" w:eastAsiaTheme="majorEastAsia" w:hAnsi="Cambria Math" w:cs="Times New Roman"/>
                        <w:noProof/>
                        <w:sz w:val="20"/>
                        <w:szCs w:val="20"/>
                      </w:rPr>
                      <m:t>j</m:t>
                    </m:r>
                  </m:sub>
                </m:sSub>
                <m:r>
                  <w:rPr>
                    <w:rFonts w:ascii="Cambria Math" w:eastAsiaTheme="majorEastAsia" w:hAnsi="Cambria Math" w:cs="Times New Roman"/>
                    <w:noProof/>
                    <w:sz w:val="20"/>
                    <w:szCs w:val="20"/>
                  </w:rPr>
                  <m:t>≤0</m:t>
                </m:r>
              </m:oMath>
            </m:oMathPara>
          </w:p>
        </w:tc>
        <w:tc>
          <w:tcPr>
            <w:tcW w:w="923" w:type="dxa"/>
            <w:tcBorders>
              <w:top w:val="single" w:sz="4" w:space="0" w:color="auto"/>
              <w:bottom w:val="single" w:sz="4" w:space="0" w:color="auto"/>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(6)</w:t>
            </w:r>
          </w:p>
        </w:tc>
      </w:tr>
      <w:tr w:rsidR="008E6C43" w:rsidRPr="00A53157" w:rsidTr="00E10730">
        <w:tc>
          <w:tcPr>
            <w:tcW w:w="9962" w:type="dxa"/>
            <w:gridSpan w:val="2"/>
            <w:tcBorders>
              <w:top w:val="single" w:sz="4" w:space="0" w:color="auto"/>
              <w:left w:val="single" w:sz="4" w:space="0" w:color="auto"/>
              <w:bottom w:val="single" w:sz="4" w:space="0" w:color="auto"/>
              <w:right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A reaction </w:t>
            </w:r>
            <w:r w:rsidRPr="00A53157">
              <w:rPr>
                <w:rFonts w:ascii="Palatino Linotype" w:eastAsiaTheme="majorEastAsia" w:hAnsi="Palatino Linotype" w:cs="Times New Roman"/>
                <w:b/>
                <w:bCs/>
                <w:noProof/>
                <w:sz w:val="20"/>
                <w:szCs w:val="20"/>
              </w:rPr>
              <w:t>j</w:t>
            </w:r>
            <w:r w:rsidRPr="00A53157">
              <w:rPr>
                <w:rFonts w:ascii="Palatino Linotype" w:eastAsiaTheme="majorEastAsia" w:hAnsi="Palatino Linotype" w:cs="Times New Roman"/>
                <w:bCs/>
                <w:noProof/>
                <w:sz w:val="20"/>
                <w:szCs w:val="20"/>
              </w:rPr>
              <w:t xml:space="preserve"> proceeds spontaneously only when its Gibbs free energy change is negative. </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 xml:space="preserve">So, this constraint ensures </w:t>
            </w:r>
            <w:r w:rsidRPr="00A53157">
              <w:rPr>
                <w:rFonts w:ascii="Palatino Linotype" w:eastAsiaTheme="majorEastAsia" w:hAnsi="Palatino Linotype" w:cs="Times New Roman"/>
                <w:b/>
                <w:bCs/>
                <w:noProof/>
                <w:sz w:val="20"/>
                <w:szCs w:val="20"/>
              </w:rPr>
              <w:t>v</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Cs/>
                <w:noProof/>
                <w:sz w:val="20"/>
                <w:szCs w:val="20"/>
              </w:rPr>
              <w:t xml:space="preserve"> and </w:t>
            </w:r>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
                <w:bCs/>
                <w:noProof/>
                <w:sz w:val="20"/>
                <w:szCs w:val="20"/>
                <w:vertAlign w:val="subscript"/>
              </w:rPr>
              <w:t>r</w:t>
            </w:r>
            <w:r w:rsidRPr="00A53157">
              <w:rPr>
                <w:rFonts w:ascii="Palatino Linotype" w:eastAsiaTheme="majorEastAsia" w:hAnsi="Palatino Linotype" w:cs="Times New Roman"/>
                <w:b/>
                <w:bCs/>
                <w:noProof/>
                <w:sz w:val="20"/>
                <w:szCs w:val="20"/>
              </w:rPr>
              <w:t>G</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
                <w:bCs/>
                <w:noProof/>
                <w:sz w:val="20"/>
                <w:szCs w:val="20"/>
              </w:rPr>
              <w:t xml:space="preserve"> </w:t>
            </w:r>
            <w:r w:rsidRPr="00A53157">
              <w:rPr>
                <w:rFonts w:ascii="Palatino Linotype" w:eastAsiaTheme="majorEastAsia" w:hAnsi="Palatino Linotype" w:cs="Times New Roman"/>
                <w:bCs/>
                <w:noProof/>
                <w:sz w:val="20"/>
                <w:szCs w:val="20"/>
              </w:rPr>
              <w:t xml:space="preserve">have opposite signs. </w:t>
            </w:r>
          </w:p>
          <w:p w:rsidR="00B421E0" w:rsidRPr="00A53157" w:rsidRDefault="00B421E0"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tr w:rsidR="008E6C43" w:rsidRPr="00A53157" w:rsidTr="00B421E0">
        <w:tc>
          <w:tcPr>
            <w:tcW w:w="9039" w:type="dxa"/>
            <w:tcBorders>
              <w:top w:val="single" w:sz="4" w:space="0" w:color="auto"/>
              <w:bottom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m:oMathPara>
              <m:oMathParaPr>
                <m:jc m:val="left"/>
              </m:oMathParaPr>
              <m:oMath>
                <m:r>
                  <w:rPr>
                    <w:rFonts w:ascii="Cambria Math" w:eastAsiaTheme="majorEastAsia" w:hAnsi="Cambria Math" w:cs="Times New Roman"/>
                    <w:noProof/>
                    <w:sz w:val="20"/>
                    <w:szCs w:val="20"/>
                  </w:rPr>
                  <m:t>abs</m:t>
                </m:r>
                <m:d>
                  <m:dPr>
                    <m:ctrlPr>
                      <w:rPr>
                        <w:rFonts w:ascii="Cambria Math" w:eastAsiaTheme="majorEastAsia" w:hAnsi="Cambria Math" w:cs="Times New Roman"/>
                        <w:bCs/>
                        <w:noProof/>
                        <w:sz w:val="20"/>
                        <w:szCs w:val="20"/>
                      </w:rPr>
                    </m:ctrlPr>
                  </m:dPr>
                  <m:e>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j</m:t>
                        </m:r>
                      </m:sub>
                    </m:sSub>
                  </m:e>
                </m:d>
                <m:r>
                  <w:rPr>
                    <w:rFonts w:ascii="Cambria Math" w:eastAsiaTheme="majorEastAsia" w:hAnsi="Cambria Math" w:cs="Times New Roman"/>
                    <w:noProof/>
                    <w:sz w:val="20"/>
                    <w:szCs w:val="20"/>
                  </w:rPr>
                  <m:t>+</m:t>
                </m:r>
                <m:f>
                  <m:fPr>
                    <m:ctrlPr>
                      <w:rPr>
                        <w:rFonts w:ascii="Cambria Math" w:eastAsiaTheme="majorEastAsia" w:hAnsi="Cambria Math" w:cs="Times New Roman"/>
                        <w:bCs/>
                        <w:noProof/>
                        <w:sz w:val="20"/>
                        <w:szCs w:val="20"/>
                      </w:rPr>
                    </m:ctrlPr>
                  </m:fPr>
                  <m:num>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m:t>
                        </m:r>
                      </m:e>
                      <m:sub>
                        <m:r>
                          <w:rPr>
                            <w:rFonts w:ascii="Cambria Math" w:eastAsiaTheme="majorEastAsia" w:hAnsi="Cambria Math" w:cs="Times New Roman"/>
                            <w:noProof/>
                            <w:sz w:val="20"/>
                            <w:szCs w:val="20"/>
                          </w:rPr>
                          <m:t>r</m:t>
                        </m:r>
                      </m:sub>
                    </m:sSub>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G</m:t>
                        </m:r>
                      </m:e>
                      <m:sub>
                        <m:r>
                          <w:rPr>
                            <w:rFonts w:ascii="Cambria Math" w:eastAsiaTheme="majorEastAsia" w:hAnsi="Cambria Math" w:cs="Times New Roman"/>
                            <w:noProof/>
                            <w:sz w:val="20"/>
                            <w:szCs w:val="20"/>
                          </w:rPr>
                          <m:t>j</m:t>
                        </m:r>
                      </m:sub>
                    </m:sSub>
                  </m:num>
                  <m:den>
                    <m:r>
                      <w:rPr>
                        <w:rFonts w:ascii="Cambria Math" w:eastAsiaTheme="majorEastAsia" w:hAnsi="Cambria Math" w:cs="Times New Roman"/>
                        <w:noProof/>
                        <w:sz w:val="20"/>
                        <w:szCs w:val="20"/>
                      </w:rPr>
                      <m:t>tol</m:t>
                    </m:r>
                  </m:den>
                </m:f>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j</m:t>
                    </m:r>
                  </m:sub>
                </m:sSub>
                <m:r>
                  <w:rPr>
                    <w:rFonts w:ascii="Cambria Math" w:eastAsiaTheme="majorEastAsia" w:hAnsi="Cambria Math" w:cs="Times New Roman"/>
                    <w:noProof/>
                    <w:sz w:val="20"/>
                    <w:szCs w:val="20"/>
                  </w:rPr>
                  <m:t>≤0</m:t>
                </m:r>
              </m:oMath>
            </m:oMathPara>
          </w:p>
        </w:tc>
        <w:tc>
          <w:tcPr>
            <w:tcW w:w="923" w:type="dxa"/>
            <w:tcBorders>
              <w:top w:val="single" w:sz="4" w:space="0" w:color="auto"/>
              <w:bottom w:val="single" w:sz="4" w:space="0" w:color="auto"/>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(7)</w:t>
            </w:r>
          </w:p>
        </w:tc>
      </w:tr>
      <w:tr w:rsidR="008E6C43" w:rsidRPr="00A53157" w:rsidTr="00E10730">
        <w:tc>
          <w:tcPr>
            <w:tcW w:w="9962" w:type="dxa"/>
            <w:gridSpan w:val="2"/>
            <w:tcBorders>
              <w:top w:val="single" w:sz="4" w:space="0" w:color="auto"/>
              <w:left w:val="single" w:sz="4" w:space="0" w:color="auto"/>
              <w:bottom w:val="single" w:sz="4" w:space="0" w:color="auto"/>
              <w:right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If </w:t>
            </w:r>
            <w:bookmarkStart w:id="31" w:name="OLE_LINK101"/>
            <w:bookmarkStart w:id="32" w:name="OLE_LINK109"/>
            <w:bookmarkStart w:id="33" w:name="OLE_LINK100"/>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
                <w:bCs/>
                <w:noProof/>
                <w:sz w:val="20"/>
                <w:szCs w:val="20"/>
                <w:vertAlign w:val="subscript"/>
              </w:rPr>
              <w:t>r</w:t>
            </w:r>
            <w:r w:rsidRPr="00A53157">
              <w:rPr>
                <w:rFonts w:ascii="Palatino Linotype" w:eastAsiaTheme="majorEastAsia" w:hAnsi="Palatino Linotype" w:cs="Times New Roman"/>
                <w:b/>
                <w:bCs/>
                <w:noProof/>
                <w:sz w:val="20"/>
                <w:szCs w:val="20"/>
              </w:rPr>
              <w:t>G</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
                <w:bCs/>
                <w:noProof/>
                <w:sz w:val="20"/>
                <w:szCs w:val="20"/>
              </w:rPr>
              <w:t xml:space="preserve"> </w:t>
            </w:r>
            <w:r w:rsidRPr="00A53157">
              <w:rPr>
                <w:rFonts w:ascii="Palatino Linotype" w:eastAsiaTheme="majorEastAsia" w:hAnsi="Palatino Linotype" w:cs="Times New Roman"/>
                <w:bCs/>
                <w:noProof/>
                <w:sz w:val="20"/>
                <w:szCs w:val="20"/>
              </w:rPr>
              <w:t xml:space="preserve">is predicted </w:t>
            </w:r>
            <w:bookmarkEnd w:id="31"/>
            <w:bookmarkEnd w:id="32"/>
            <w:r w:rsidRPr="00A53157">
              <w:rPr>
                <w:rFonts w:ascii="Palatino Linotype" w:eastAsiaTheme="majorEastAsia" w:hAnsi="Palatino Linotype" w:cs="Times New Roman"/>
                <w:bCs/>
                <w:noProof/>
                <w:sz w:val="20"/>
                <w:szCs w:val="20"/>
              </w:rPr>
              <w:t xml:space="preserve">to be </w:t>
            </w:r>
            <w:bookmarkEnd w:id="33"/>
            <w:r w:rsidRPr="00A53157">
              <w:rPr>
                <w:rFonts w:ascii="Palatino Linotype" w:eastAsiaTheme="majorEastAsia" w:hAnsi="Palatino Linotype" w:cs="Times New Roman"/>
                <w:bCs/>
                <w:noProof/>
                <w:sz w:val="20"/>
                <w:szCs w:val="20"/>
              </w:rPr>
              <w:t xml:space="preserve">zero, the reaction should be in either equilibrium or blocked state, such that </w:t>
            </w:r>
            <w:r w:rsidRPr="00A53157">
              <w:rPr>
                <w:rFonts w:ascii="Palatino Linotype" w:eastAsiaTheme="majorEastAsia" w:hAnsi="Palatino Linotype" w:cs="Times New Roman"/>
                <w:b/>
                <w:bCs/>
                <w:noProof/>
                <w:sz w:val="20"/>
                <w:szCs w:val="20"/>
              </w:rPr>
              <w:t>v</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Cs/>
                <w:noProof/>
                <w:sz w:val="20"/>
                <w:szCs w:val="20"/>
              </w:rPr>
              <w:t xml:space="preserve"> is also zero. Here we use a very small tolerance </w:t>
            </w:r>
            <w:r w:rsidRPr="00A53157">
              <w:rPr>
                <w:rFonts w:ascii="Palatino Linotype" w:eastAsiaTheme="majorEastAsia" w:hAnsi="Palatino Linotype" w:cs="Times New Roman"/>
                <w:b/>
                <w:bCs/>
                <w:noProof/>
                <w:sz w:val="20"/>
                <w:szCs w:val="20"/>
              </w:rPr>
              <w:t xml:space="preserve">tol </w:t>
            </w:r>
            <w:r w:rsidRPr="00A53157">
              <w:rPr>
                <w:rFonts w:ascii="Palatino Linotype" w:eastAsiaTheme="majorEastAsia" w:hAnsi="Palatino Linotype" w:cs="Times New Roman"/>
                <w:bCs/>
                <w:noProof/>
                <w:sz w:val="20"/>
                <w:szCs w:val="20"/>
              </w:rPr>
              <w:t xml:space="preserve">to replace zero (i.e. if </w:t>
            </w:r>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
                <w:bCs/>
                <w:noProof/>
                <w:sz w:val="20"/>
                <w:szCs w:val="20"/>
                <w:vertAlign w:val="subscript"/>
              </w:rPr>
              <w:t>r</w:t>
            </w:r>
            <w:r w:rsidRPr="00A53157">
              <w:rPr>
                <w:rFonts w:ascii="Palatino Linotype" w:eastAsiaTheme="majorEastAsia" w:hAnsi="Palatino Linotype" w:cs="Times New Roman"/>
                <w:b/>
                <w:bCs/>
                <w:noProof/>
                <w:sz w:val="20"/>
                <w:szCs w:val="20"/>
              </w:rPr>
              <w:t>G</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Cs/>
                <w:noProof/>
                <w:sz w:val="20"/>
                <w:szCs w:val="20"/>
              </w:rPr>
              <w:t xml:space="preserve"> is smaller than </w:t>
            </w:r>
            <w:r w:rsidRPr="00A53157">
              <w:rPr>
                <w:rFonts w:ascii="Palatino Linotype" w:eastAsiaTheme="majorEastAsia" w:hAnsi="Palatino Linotype" w:cs="Times New Roman"/>
                <w:b/>
                <w:bCs/>
                <w:noProof/>
                <w:sz w:val="20"/>
                <w:szCs w:val="20"/>
              </w:rPr>
              <w:t>tol</w:t>
            </w:r>
            <w:r w:rsidRPr="00A53157">
              <w:rPr>
                <w:rFonts w:ascii="Palatino Linotype" w:eastAsiaTheme="majorEastAsia" w:hAnsi="Palatino Linotype" w:cs="Times New Roman"/>
                <w:bCs/>
                <w:noProof/>
                <w:sz w:val="20"/>
                <w:szCs w:val="20"/>
              </w:rPr>
              <w:t xml:space="preserve">, we would treat it as equal to zero). </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If a </w:t>
            </w:r>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
                <w:bCs/>
                <w:noProof/>
                <w:sz w:val="20"/>
                <w:szCs w:val="20"/>
                <w:vertAlign w:val="subscript"/>
              </w:rPr>
              <w:t>r</w:t>
            </w:r>
            <w:r w:rsidRPr="00A53157">
              <w:rPr>
                <w:rFonts w:ascii="Palatino Linotype" w:eastAsiaTheme="majorEastAsia" w:hAnsi="Palatino Linotype" w:cs="Times New Roman"/>
                <w:b/>
                <w:bCs/>
                <w:noProof/>
                <w:sz w:val="20"/>
                <w:szCs w:val="20"/>
              </w:rPr>
              <w:t>G</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
                <w:bCs/>
                <w:noProof/>
                <w:sz w:val="20"/>
                <w:szCs w:val="20"/>
              </w:rPr>
              <w:t xml:space="preserve"> </w:t>
            </w:r>
            <w:r w:rsidRPr="00A53157">
              <w:rPr>
                <w:rFonts w:ascii="Palatino Linotype" w:eastAsiaTheme="majorEastAsia" w:hAnsi="Palatino Linotype" w:cs="Times New Roman"/>
                <w:bCs/>
                <w:noProof/>
                <w:sz w:val="20"/>
                <w:szCs w:val="20"/>
              </w:rPr>
              <w:t xml:space="preserve">whose absolute value is smaller than tol is predicted, the second term on the LHS of the inequality constraint is always smaller or equal to the first term </w:t>
            </w:r>
            <w:r w:rsidRPr="00A53157">
              <w:rPr>
                <w:rFonts w:ascii="Palatino Linotype" w:eastAsiaTheme="majorEastAsia" w:hAnsi="Palatino Linotype" w:cs="Times New Roman"/>
                <w:b/>
                <w:bCs/>
                <w:noProof/>
                <w:sz w:val="20"/>
                <w:szCs w:val="20"/>
              </w:rPr>
              <w:t>abs(v</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Cs/>
                <w:noProof/>
                <w:sz w:val="20"/>
                <w:szCs w:val="20"/>
              </w:rPr>
              <w:t xml:space="preserve">. In order to satisfy the constraint, </w:t>
            </w:r>
            <w:r w:rsidRPr="00A53157">
              <w:rPr>
                <w:rFonts w:ascii="Palatino Linotype" w:eastAsiaTheme="majorEastAsia" w:hAnsi="Palatino Linotype" w:cs="Times New Roman"/>
                <w:b/>
                <w:bCs/>
                <w:noProof/>
                <w:sz w:val="20"/>
                <w:szCs w:val="20"/>
              </w:rPr>
              <w:t>vj</w:t>
            </w:r>
            <w:r w:rsidRPr="00A53157">
              <w:rPr>
                <w:rFonts w:ascii="Palatino Linotype" w:eastAsiaTheme="majorEastAsia" w:hAnsi="Palatino Linotype" w:cs="Times New Roman"/>
                <w:bCs/>
                <w:noProof/>
                <w:sz w:val="20"/>
                <w:szCs w:val="20"/>
              </w:rPr>
              <w:t xml:space="preserve"> must be set to zero. </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 xml:space="preserve">If a ‘non-zero’ </w:t>
            </w:r>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
                <w:bCs/>
                <w:noProof/>
                <w:sz w:val="20"/>
                <w:szCs w:val="20"/>
                <w:vertAlign w:val="subscript"/>
              </w:rPr>
              <w:t>r</w:t>
            </w:r>
            <w:r w:rsidRPr="00A53157">
              <w:rPr>
                <w:rFonts w:ascii="Palatino Linotype" w:eastAsiaTheme="majorEastAsia" w:hAnsi="Palatino Linotype" w:cs="Times New Roman"/>
                <w:b/>
                <w:bCs/>
                <w:noProof/>
                <w:sz w:val="20"/>
                <w:szCs w:val="20"/>
              </w:rPr>
              <w:t>G</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
                <w:bCs/>
                <w:noProof/>
                <w:sz w:val="20"/>
                <w:szCs w:val="20"/>
              </w:rPr>
              <w:t xml:space="preserve"> </w:t>
            </w:r>
            <w:r w:rsidRPr="00A53157">
              <w:rPr>
                <w:rFonts w:ascii="Palatino Linotype" w:eastAsiaTheme="majorEastAsia" w:hAnsi="Palatino Linotype" w:cs="Times New Roman"/>
                <w:bCs/>
                <w:noProof/>
                <w:sz w:val="20"/>
                <w:szCs w:val="20"/>
              </w:rPr>
              <w:t xml:space="preserve">is predicted, this constraint is naturally satisfied because the second term would always be a negative number with greater magnitude than the first term. </w:t>
            </w:r>
          </w:p>
          <w:p w:rsidR="00BE2446" w:rsidRPr="00A53157" w:rsidRDefault="00BE2446"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tr w:rsidR="008E6C43" w:rsidRPr="00A53157" w:rsidTr="00B421E0">
        <w:tc>
          <w:tcPr>
            <w:tcW w:w="9039" w:type="dxa"/>
            <w:tcBorders>
              <w:top w:val="single" w:sz="4" w:space="0" w:color="auto"/>
              <w:bottom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
                <w:bCs/>
                <w:noProof/>
                <w:sz w:val="20"/>
                <w:szCs w:val="20"/>
              </w:rPr>
            </w:pPr>
            <m:oMathPara>
              <m:oMathParaPr>
                <m:jc m:val="left"/>
              </m:oMathParaPr>
              <m:oMath>
                <m:r>
                  <w:rPr>
                    <w:rFonts w:ascii="Cambria Math" w:eastAsiaTheme="majorEastAsia" w:hAnsi="Cambria Math" w:cs="Times New Roman"/>
                    <w:noProof/>
                    <w:sz w:val="20"/>
                    <w:szCs w:val="20"/>
                  </w:rPr>
                  <m:t>abs</m:t>
                </m:r>
                <m:d>
                  <m:dPr>
                    <m:ctrlPr>
                      <w:rPr>
                        <w:rFonts w:ascii="Cambria Math" w:eastAsiaTheme="majorEastAsia" w:hAnsi="Cambria Math" w:cs="Times New Roman"/>
                        <w:bCs/>
                        <w:noProof/>
                        <w:sz w:val="20"/>
                        <w:szCs w:val="20"/>
                      </w:rPr>
                    </m:ctrlPr>
                  </m:dPr>
                  <m:e>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m:t>
                        </m:r>
                      </m:e>
                      <m:sub>
                        <m:r>
                          <w:rPr>
                            <w:rFonts w:ascii="Cambria Math" w:eastAsiaTheme="majorEastAsia" w:hAnsi="Cambria Math" w:cs="Times New Roman"/>
                            <w:noProof/>
                            <w:sz w:val="20"/>
                            <w:szCs w:val="20"/>
                          </w:rPr>
                          <m:t>r</m:t>
                        </m:r>
                      </m:sub>
                    </m:sSub>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G</m:t>
                        </m:r>
                      </m:e>
                      <m:sub>
                        <m:r>
                          <w:rPr>
                            <w:rFonts w:ascii="Cambria Math" w:eastAsiaTheme="majorEastAsia" w:hAnsi="Cambria Math" w:cs="Times New Roman"/>
                            <w:noProof/>
                            <w:sz w:val="20"/>
                            <w:szCs w:val="20"/>
                          </w:rPr>
                          <m:t>j</m:t>
                        </m:r>
                      </m:sub>
                    </m:sSub>
                  </m:e>
                </m:d>
                <m:r>
                  <w:rPr>
                    <w:rFonts w:ascii="Cambria Math" w:eastAsiaTheme="majorEastAsia" w:hAnsi="Cambria Math" w:cs="Times New Roman"/>
                    <w:noProof/>
                    <w:sz w:val="20"/>
                    <w:szCs w:val="20"/>
                  </w:rPr>
                  <m:t>+</m:t>
                </m:r>
                <m:f>
                  <m:fPr>
                    <m:ctrlPr>
                      <w:rPr>
                        <w:rFonts w:ascii="Cambria Math" w:eastAsiaTheme="majorEastAsia" w:hAnsi="Cambria Math" w:cs="Times New Roman"/>
                        <w:bCs/>
                        <w:noProof/>
                        <w:sz w:val="20"/>
                        <w:szCs w:val="20"/>
                      </w:rPr>
                    </m:ctrlPr>
                  </m:fPr>
                  <m:num>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v</m:t>
                        </m:r>
                      </m:e>
                      <m:sub>
                        <m:r>
                          <w:rPr>
                            <w:rFonts w:ascii="Cambria Math" w:eastAsiaTheme="majorEastAsia" w:hAnsi="Cambria Math" w:cs="Times New Roman"/>
                            <w:noProof/>
                            <w:sz w:val="20"/>
                            <w:szCs w:val="20"/>
                          </w:rPr>
                          <m:t>j</m:t>
                        </m:r>
                      </m:sub>
                    </m:sSub>
                  </m:num>
                  <m:den>
                    <m:r>
                      <w:rPr>
                        <w:rFonts w:ascii="Cambria Math" w:eastAsiaTheme="majorEastAsia" w:hAnsi="Cambria Math" w:cs="Times New Roman"/>
                        <w:noProof/>
                        <w:sz w:val="20"/>
                        <w:szCs w:val="20"/>
                      </w:rPr>
                      <m:t>tol</m:t>
                    </m:r>
                  </m:den>
                </m:f>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m:t>
                    </m:r>
                  </m:e>
                  <m:sub>
                    <m:r>
                      <w:rPr>
                        <w:rFonts w:ascii="Cambria Math" w:eastAsiaTheme="majorEastAsia" w:hAnsi="Cambria Math" w:cs="Times New Roman"/>
                        <w:noProof/>
                        <w:sz w:val="20"/>
                        <w:szCs w:val="20"/>
                      </w:rPr>
                      <m:t>r</m:t>
                    </m:r>
                  </m:sub>
                </m:sSub>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G</m:t>
                    </m:r>
                  </m:e>
                  <m:sub>
                    <m:r>
                      <w:rPr>
                        <w:rFonts w:ascii="Cambria Math" w:eastAsiaTheme="majorEastAsia" w:hAnsi="Cambria Math" w:cs="Times New Roman"/>
                        <w:noProof/>
                        <w:sz w:val="20"/>
                        <w:szCs w:val="20"/>
                      </w:rPr>
                      <m:t>j</m:t>
                    </m:r>
                  </m:sub>
                </m:sSub>
                <m:r>
                  <w:rPr>
                    <w:rFonts w:ascii="Cambria Math" w:eastAsiaTheme="majorEastAsia" w:hAnsi="Cambria Math" w:cs="Times New Roman"/>
                    <w:noProof/>
                    <w:sz w:val="20"/>
                    <w:szCs w:val="20"/>
                  </w:rPr>
                  <m:t>≤0</m:t>
                </m:r>
              </m:oMath>
            </m:oMathPara>
          </w:p>
        </w:tc>
        <w:tc>
          <w:tcPr>
            <w:tcW w:w="923" w:type="dxa"/>
            <w:tcBorders>
              <w:top w:val="single" w:sz="4" w:space="0" w:color="auto"/>
              <w:bottom w:val="single" w:sz="4" w:space="0" w:color="auto"/>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
                <w:bCs/>
                <w:noProof/>
                <w:sz w:val="20"/>
                <w:szCs w:val="20"/>
              </w:rPr>
            </w:pPr>
            <w:r w:rsidRPr="00A53157">
              <w:rPr>
                <w:rFonts w:ascii="Palatino Linotype" w:eastAsiaTheme="majorEastAsia" w:hAnsi="Palatino Linotype" w:cs="Times New Roman"/>
                <w:bCs/>
                <w:noProof/>
                <w:sz w:val="20"/>
                <w:szCs w:val="20"/>
              </w:rPr>
              <w:t>(8)</w:t>
            </w:r>
          </w:p>
        </w:tc>
      </w:tr>
      <w:tr w:rsidR="008E6C43" w:rsidRPr="00A53157" w:rsidTr="00E10730">
        <w:tc>
          <w:tcPr>
            <w:tcW w:w="9962" w:type="dxa"/>
            <w:gridSpan w:val="2"/>
            <w:tcBorders>
              <w:top w:val="single" w:sz="4" w:space="0" w:color="auto"/>
              <w:left w:val="single" w:sz="4" w:space="0" w:color="auto"/>
              <w:bottom w:val="single" w:sz="4" w:space="0" w:color="auto"/>
              <w:right w:val="single" w:sz="4" w:space="0" w:color="auto"/>
            </w:tcBorders>
          </w:tcPr>
          <w:p w:rsidR="008E6C43" w:rsidRPr="00A53157" w:rsidRDefault="008E6C43" w:rsidP="00A53157">
            <w:pPr>
              <w:tabs>
                <w:tab w:val="left" w:pos="615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t>Description</w:t>
            </w:r>
            <w:r w:rsidRPr="00A53157">
              <w:rPr>
                <w:rFonts w:ascii="Palatino Linotype" w:eastAsiaTheme="majorEastAsia" w:hAnsi="Palatino Linotype" w:cs="Times New Roman"/>
                <w:bCs/>
                <w:noProof/>
                <w:sz w:val="20"/>
                <w:szCs w:val="20"/>
              </w:rPr>
              <w:t>:</w:t>
            </w:r>
            <w:r w:rsidRPr="00A53157">
              <w:rPr>
                <w:rFonts w:ascii="Palatino Linotype" w:eastAsiaTheme="majorEastAsia" w:hAnsi="Palatino Linotype" w:cs="Times New Roman"/>
                <w:bCs/>
                <w:noProof/>
                <w:sz w:val="20"/>
                <w:szCs w:val="20"/>
              </w:rPr>
              <w:tab/>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 xml:space="preserve">This constraint works in a similar way to Constraint 6. It ensures that when </w:t>
            </w:r>
            <w:r w:rsidRPr="00A53157">
              <w:rPr>
                <w:rFonts w:ascii="Palatino Linotype" w:eastAsiaTheme="majorEastAsia" w:hAnsi="Palatino Linotype" w:cs="Times New Roman"/>
                <w:b/>
                <w:bCs/>
                <w:noProof/>
                <w:sz w:val="20"/>
                <w:szCs w:val="20"/>
              </w:rPr>
              <w:t>v</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
                <w:bCs/>
                <w:noProof/>
                <w:sz w:val="20"/>
                <w:szCs w:val="20"/>
              </w:rPr>
              <w:t xml:space="preserve"> </w:t>
            </w:r>
            <w:r w:rsidRPr="00A53157">
              <w:rPr>
                <w:rFonts w:ascii="Palatino Linotype" w:eastAsiaTheme="majorEastAsia" w:hAnsi="Palatino Linotype" w:cs="Times New Roman"/>
                <w:bCs/>
                <w:noProof/>
                <w:sz w:val="20"/>
                <w:szCs w:val="20"/>
              </w:rPr>
              <w:t xml:space="preserve">is predicted to be ‘zero’ (i.e. </w:t>
            </w:r>
            <w:r w:rsidRPr="00A53157">
              <w:rPr>
                <w:rFonts w:ascii="Palatino Linotype" w:eastAsiaTheme="majorEastAsia" w:hAnsi="Palatino Linotype" w:cs="Times New Roman"/>
                <w:b/>
                <w:bCs/>
                <w:noProof/>
                <w:sz w:val="20"/>
                <w:szCs w:val="20"/>
              </w:rPr>
              <w:t>abs(v</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Cs/>
                <w:noProof/>
                <w:sz w:val="20"/>
                <w:szCs w:val="20"/>
              </w:rPr>
              <w:t xml:space="preserve"> is smaller than tol), </w:t>
            </w:r>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
                <w:bCs/>
                <w:noProof/>
                <w:sz w:val="20"/>
                <w:szCs w:val="20"/>
                <w:vertAlign w:val="subscript"/>
              </w:rPr>
              <w:t>r</w:t>
            </w:r>
            <w:r w:rsidRPr="00A53157">
              <w:rPr>
                <w:rFonts w:ascii="Palatino Linotype" w:eastAsiaTheme="majorEastAsia" w:hAnsi="Palatino Linotype" w:cs="Times New Roman"/>
                <w:b/>
                <w:bCs/>
                <w:noProof/>
                <w:sz w:val="20"/>
                <w:szCs w:val="20"/>
              </w:rPr>
              <w:t>G</w:t>
            </w:r>
            <w:r w:rsidRPr="00A53157">
              <w:rPr>
                <w:rFonts w:ascii="Palatino Linotype" w:eastAsiaTheme="majorEastAsia" w:hAnsi="Palatino Linotype" w:cs="Times New Roman"/>
                <w:b/>
                <w:bCs/>
                <w:noProof/>
                <w:sz w:val="20"/>
                <w:szCs w:val="20"/>
                <w:vertAlign w:val="subscript"/>
              </w:rPr>
              <w:t xml:space="preserve">j </w:t>
            </w:r>
            <w:r w:rsidRPr="00A53157">
              <w:rPr>
                <w:rFonts w:ascii="Palatino Linotype" w:eastAsiaTheme="majorEastAsia" w:hAnsi="Palatino Linotype" w:cs="Times New Roman"/>
                <w:bCs/>
                <w:noProof/>
                <w:sz w:val="20"/>
                <w:szCs w:val="20"/>
              </w:rPr>
              <w:t>should be zero as well</w:t>
            </w:r>
            <w:r w:rsidR="00BE2446" w:rsidRPr="00A53157">
              <w:rPr>
                <w:rFonts w:ascii="Palatino Linotype" w:eastAsiaTheme="majorEastAsia" w:hAnsi="Palatino Linotype" w:cs="Times New Roman"/>
                <w:bCs/>
                <w:noProof/>
                <w:sz w:val="20"/>
                <w:szCs w:val="20"/>
              </w:rPr>
              <w:t>.</w:t>
            </w:r>
          </w:p>
          <w:p w:rsidR="00BE2446" w:rsidRPr="00A53157" w:rsidRDefault="00BE2446"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p>
        </w:tc>
      </w:tr>
      <w:tr w:rsidR="008E6C43" w:rsidRPr="00A53157" w:rsidTr="00B421E0">
        <w:tc>
          <w:tcPr>
            <w:tcW w:w="9039" w:type="dxa"/>
            <w:tcBorders>
              <w:top w:val="single" w:sz="4" w:space="0" w:color="auto"/>
              <w:bottom w:val="single" w:sz="4" w:space="0" w:color="auto"/>
            </w:tcBorders>
          </w:tcPr>
          <w:p w:rsidR="008E6C43" w:rsidRPr="00A53157" w:rsidRDefault="00E254BE"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m:oMathPara>
              <m:oMathParaPr>
                <m:jc m:val="left"/>
              </m:oMathParaPr>
              <m:oMath>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m:t>
                    </m:r>
                  </m:e>
                  <m:sub>
                    <m:r>
                      <w:rPr>
                        <w:rFonts w:ascii="Cambria Math" w:eastAsiaTheme="majorEastAsia" w:hAnsi="Cambria Math" w:cs="Times New Roman"/>
                        <w:noProof/>
                        <w:sz w:val="20"/>
                        <w:szCs w:val="20"/>
                      </w:rPr>
                      <m:t>r</m:t>
                    </m:r>
                  </m:sub>
                </m:sSub>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G</m:t>
                    </m:r>
                  </m:e>
                  <m:sub>
                    <m:r>
                      <w:rPr>
                        <w:rFonts w:ascii="Cambria Math" w:eastAsiaTheme="majorEastAsia" w:hAnsi="Cambria Math" w:cs="Times New Roman"/>
                        <w:noProof/>
                        <w:sz w:val="20"/>
                        <w:szCs w:val="20"/>
                      </w:rPr>
                      <m:t>j</m:t>
                    </m:r>
                  </m:sub>
                </m:sSub>
                <m:r>
                  <w:rPr>
                    <w:rFonts w:ascii="Cambria Math" w:eastAsiaTheme="majorEastAsia" w:hAnsi="Cambria Math" w:cs="Times New Roman"/>
                    <w:noProof/>
                    <w:sz w:val="20"/>
                    <w:szCs w:val="20"/>
                  </w:rPr>
                  <m:t>=</m:t>
                </m:r>
                <m:nary>
                  <m:naryPr>
                    <m:chr m:val="∑"/>
                    <m:limLoc m:val="undOvr"/>
                    <m:ctrlPr>
                      <w:rPr>
                        <w:rFonts w:ascii="Cambria Math" w:eastAsiaTheme="majorEastAsia" w:hAnsi="Cambria Math" w:cs="Times New Roman"/>
                        <w:bCs/>
                        <w:noProof/>
                        <w:sz w:val="20"/>
                        <w:szCs w:val="20"/>
                      </w:rPr>
                    </m:ctrlPr>
                  </m:naryPr>
                  <m:sub>
                    <m:r>
                      <w:rPr>
                        <w:rFonts w:ascii="Cambria Math" w:eastAsiaTheme="majorEastAsia" w:hAnsi="Cambria Math" w:cs="Times New Roman"/>
                        <w:noProof/>
                        <w:sz w:val="20"/>
                        <w:szCs w:val="20"/>
                      </w:rPr>
                      <m:t>i=1</m:t>
                    </m:r>
                  </m:sub>
                  <m:sup>
                    <m:r>
                      <w:rPr>
                        <w:rFonts w:ascii="Cambria Math" w:eastAsiaTheme="majorEastAsia" w:hAnsi="Cambria Math" w:cs="Times New Roman"/>
                        <w:noProof/>
                        <w:sz w:val="20"/>
                        <w:szCs w:val="20"/>
                      </w:rPr>
                      <m:t>Products</m:t>
                    </m:r>
                  </m:sup>
                  <m:e>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η</m:t>
                        </m:r>
                      </m:e>
                      <m:sub>
                        <m:r>
                          <w:rPr>
                            <w:rFonts w:ascii="Cambria Math" w:eastAsiaTheme="majorEastAsia" w:hAnsi="Cambria Math" w:cs="Times New Roman"/>
                            <w:noProof/>
                            <w:sz w:val="20"/>
                            <w:szCs w:val="20"/>
                          </w:rPr>
                          <m:t>i</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m:t>
                        </m:r>
                      </m:e>
                      <m:sub>
                        <m:r>
                          <w:rPr>
                            <w:rFonts w:ascii="Cambria Math" w:eastAsiaTheme="majorEastAsia" w:hAnsi="Cambria Math" w:cs="Times New Roman"/>
                            <w:noProof/>
                            <w:sz w:val="20"/>
                            <w:szCs w:val="20"/>
                          </w:rPr>
                          <m:t>f</m:t>
                        </m:r>
                      </m:sub>
                    </m:sSub>
                    <m:sSubSup>
                      <m:sSubSupPr>
                        <m:ctrlPr>
                          <w:rPr>
                            <w:rFonts w:ascii="Cambria Math" w:eastAsiaTheme="majorEastAsia" w:hAnsi="Cambria Math" w:cs="Times New Roman"/>
                            <w:bCs/>
                            <w:noProof/>
                            <w:sz w:val="20"/>
                            <w:szCs w:val="20"/>
                          </w:rPr>
                        </m:ctrlPr>
                      </m:sSubSupPr>
                      <m:e>
                        <m:r>
                          <w:rPr>
                            <w:rFonts w:ascii="Cambria Math" w:eastAsiaTheme="majorEastAsia" w:hAnsi="Cambria Math" w:cs="Times New Roman"/>
                            <w:noProof/>
                            <w:sz w:val="20"/>
                            <w:szCs w:val="20"/>
                          </w:rPr>
                          <m:t>G</m:t>
                        </m:r>
                      </m:e>
                      <m:sub>
                        <m:r>
                          <w:rPr>
                            <w:rFonts w:ascii="Cambria Math" w:eastAsiaTheme="majorEastAsia" w:hAnsi="Cambria Math" w:cs="Times New Roman"/>
                            <w:noProof/>
                            <w:sz w:val="20"/>
                            <w:szCs w:val="20"/>
                          </w:rPr>
                          <m:t>i</m:t>
                        </m:r>
                      </m:sub>
                      <m:sup>
                        <m:r>
                          <w:rPr>
                            <w:rFonts w:ascii="Cambria Math" w:eastAsiaTheme="majorEastAsia" w:hAnsi="Cambria Math" w:cs="Times New Roman"/>
                            <w:noProof/>
                            <w:sz w:val="20"/>
                            <w:szCs w:val="20"/>
                          </w:rPr>
                          <m:t>0</m:t>
                        </m:r>
                      </m:sup>
                    </m:sSubSup>
                    <m:r>
                      <w:rPr>
                        <w:rFonts w:ascii="Cambria Math" w:eastAsiaTheme="majorEastAsia" w:hAnsi="Cambria Math" w:cs="Times New Roman"/>
                        <w:noProof/>
                        <w:sz w:val="20"/>
                        <w:szCs w:val="20"/>
                      </w:rPr>
                      <m:t>+RTln(</m:t>
                    </m:r>
                    <m:f>
                      <m:fPr>
                        <m:ctrlPr>
                          <w:rPr>
                            <w:rFonts w:ascii="Cambria Math" w:eastAsiaTheme="majorEastAsia" w:hAnsi="Cambria Math" w:cs="Times New Roman"/>
                            <w:bCs/>
                            <w:noProof/>
                            <w:sz w:val="20"/>
                            <w:szCs w:val="20"/>
                          </w:rPr>
                        </m:ctrlPr>
                      </m:fPr>
                      <m:num>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C</m:t>
                            </m:r>
                          </m:e>
                          <m:sub>
                            <m:r>
                              <w:rPr>
                                <w:rFonts w:ascii="Cambria Math" w:eastAsiaTheme="majorEastAsia" w:hAnsi="Cambria Math" w:cs="Times New Roman"/>
                                <w:noProof/>
                                <w:sz w:val="20"/>
                                <w:szCs w:val="20"/>
                              </w:rPr>
                              <m:t>i</m:t>
                            </m:r>
                          </m:sub>
                        </m:sSub>
                      </m:num>
                      <m:den>
                        <m:sSubSup>
                          <m:sSubSupPr>
                            <m:ctrlPr>
                              <w:rPr>
                                <w:rFonts w:ascii="Cambria Math" w:eastAsiaTheme="majorEastAsia" w:hAnsi="Cambria Math" w:cs="Times New Roman"/>
                                <w:bCs/>
                                <w:noProof/>
                                <w:sz w:val="20"/>
                                <w:szCs w:val="20"/>
                              </w:rPr>
                            </m:ctrlPr>
                          </m:sSubSupPr>
                          <m:e>
                            <m:r>
                              <w:rPr>
                                <w:rFonts w:ascii="Cambria Math" w:eastAsiaTheme="majorEastAsia" w:hAnsi="Cambria Math" w:cs="Times New Roman"/>
                                <w:noProof/>
                                <w:sz w:val="20"/>
                                <w:szCs w:val="20"/>
                              </w:rPr>
                              <m:t>C</m:t>
                            </m:r>
                          </m:e>
                          <m:sub>
                            <m:r>
                              <w:rPr>
                                <w:rFonts w:ascii="Cambria Math" w:eastAsiaTheme="majorEastAsia" w:hAnsi="Cambria Math" w:cs="Times New Roman"/>
                                <w:noProof/>
                                <w:sz w:val="20"/>
                                <w:szCs w:val="20"/>
                              </w:rPr>
                              <m:t>i</m:t>
                            </m:r>
                          </m:sub>
                          <m:sup>
                            <m:r>
                              <w:rPr>
                                <w:rFonts w:ascii="Cambria Math" w:eastAsiaTheme="majorEastAsia" w:hAnsi="Cambria Math" w:cs="Times New Roman"/>
                                <w:noProof/>
                                <w:sz w:val="20"/>
                                <w:szCs w:val="20"/>
                              </w:rPr>
                              <m:t>st</m:t>
                            </m:r>
                          </m:sup>
                        </m:sSubSup>
                      </m:den>
                    </m:f>
                    <m:r>
                      <w:rPr>
                        <w:rFonts w:ascii="Cambria Math" w:eastAsiaTheme="majorEastAsia" w:hAnsi="Cambria Math" w:cs="Times New Roman"/>
                        <w:noProof/>
                        <w:sz w:val="20"/>
                        <w:szCs w:val="20"/>
                      </w:rPr>
                      <m:t>)</m:t>
                    </m:r>
                  </m:e>
                </m:nary>
                <m:r>
                  <w:rPr>
                    <w:rFonts w:ascii="Cambria Math" w:eastAsiaTheme="majorEastAsia" w:hAnsi="Cambria Math" w:cs="Times New Roman"/>
                    <w:noProof/>
                    <w:sz w:val="20"/>
                    <w:szCs w:val="20"/>
                  </w:rPr>
                  <m:t>]-</m:t>
                </m:r>
                <m:nary>
                  <m:naryPr>
                    <m:chr m:val="∑"/>
                    <m:limLoc m:val="undOvr"/>
                    <m:ctrlPr>
                      <w:rPr>
                        <w:rFonts w:ascii="Cambria Math" w:eastAsiaTheme="majorEastAsia" w:hAnsi="Cambria Math" w:cs="Times New Roman"/>
                        <w:bCs/>
                        <w:noProof/>
                        <w:sz w:val="20"/>
                        <w:szCs w:val="20"/>
                      </w:rPr>
                    </m:ctrlPr>
                  </m:naryPr>
                  <m:sub>
                    <m:r>
                      <w:rPr>
                        <w:rFonts w:ascii="Cambria Math" w:eastAsiaTheme="majorEastAsia" w:hAnsi="Cambria Math" w:cs="Times New Roman"/>
                        <w:noProof/>
                        <w:sz w:val="20"/>
                        <w:szCs w:val="20"/>
                      </w:rPr>
                      <m:t>i=1</m:t>
                    </m:r>
                  </m:sub>
                  <m:sup>
                    <m:r>
                      <w:rPr>
                        <w:rFonts w:ascii="Cambria Math" w:eastAsiaTheme="majorEastAsia" w:hAnsi="Cambria Math" w:cs="Times New Roman"/>
                        <w:noProof/>
                        <w:sz w:val="20"/>
                        <w:szCs w:val="20"/>
                      </w:rPr>
                      <m:t>Reactants</m:t>
                    </m:r>
                  </m:sup>
                  <m:e>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η</m:t>
                        </m:r>
                      </m:e>
                      <m:sub>
                        <m:r>
                          <w:rPr>
                            <w:rFonts w:ascii="Cambria Math" w:eastAsiaTheme="majorEastAsia" w:hAnsi="Cambria Math" w:cs="Times New Roman"/>
                            <w:noProof/>
                            <w:sz w:val="20"/>
                            <w:szCs w:val="20"/>
                          </w:rPr>
                          <m:t>i</m:t>
                        </m:r>
                      </m:sub>
                    </m:sSub>
                    <m:r>
                      <w:rPr>
                        <w:rFonts w:ascii="Cambria Math" w:eastAsiaTheme="majorEastAsia" w:hAnsi="Cambria Math" w:cs="Times New Roman"/>
                        <w:noProof/>
                        <w:sz w:val="20"/>
                        <w:szCs w:val="20"/>
                      </w:rPr>
                      <m:t>[</m:t>
                    </m:r>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m:t>
                        </m:r>
                      </m:e>
                      <m:sub>
                        <m:r>
                          <w:rPr>
                            <w:rFonts w:ascii="Cambria Math" w:eastAsiaTheme="majorEastAsia" w:hAnsi="Cambria Math" w:cs="Times New Roman"/>
                            <w:noProof/>
                            <w:sz w:val="20"/>
                            <w:szCs w:val="20"/>
                          </w:rPr>
                          <m:t>f</m:t>
                        </m:r>
                      </m:sub>
                    </m:sSub>
                    <m:sSubSup>
                      <m:sSubSupPr>
                        <m:ctrlPr>
                          <w:rPr>
                            <w:rFonts w:ascii="Cambria Math" w:eastAsiaTheme="majorEastAsia" w:hAnsi="Cambria Math" w:cs="Times New Roman"/>
                            <w:bCs/>
                            <w:noProof/>
                            <w:sz w:val="20"/>
                            <w:szCs w:val="20"/>
                          </w:rPr>
                        </m:ctrlPr>
                      </m:sSubSupPr>
                      <m:e>
                        <m:r>
                          <w:rPr>
                            <w:rFonts w:ascii="Cambria Math" w:eastAsiaTheme="majorEastAsia" w:hAnsi="Cambria Math" w:cs="Times New Roman"/>
                            <w:noProof/>
                            <w:sz w:val="20"/>
                            <w:szCs w:val="20"/>
                          </w:rPr>
                          <m:t>G</m:t>
                        </m:r>
                      </m:e>
                      <m:sub>
                        <m:r>
                          <w:rPr>
                            <w:rFonts w:ascii="Cambria Math" w:eastAsiaTheme="majorEastAsia" w:hAnsi="Cambria Math" w:cs="Times New Roman"/>
                            <w:noProof/>
                            <w:sz w:val="20"/>
                            <w:szCs w:val="20"/>
                          </w:rPr>
                          <m:t>i</m:t>
                        </m:r>
                      </m:sub>
                      <m:sup>
                        <m:r>
                          <w:rPr>
                            <w:rFonts w:ascii="Cambria Math" w:eastAsiaTheme="majorEastAsia" w:hAnsi="Cambria Math" w:cs="Times New Roman"/>
                            <w:noProof/>
                            <w:sz w:val="20"/>
                            <w:szCs w:val="20"/>
                          </w:rPr>
                          <m:t>0</m:t>
                        </m:r>
                      </m:sup>
                    </m:sSubSup>
                    <m:r>
                      <w:rPr>
                        <w:rFonts w:ascii="Cambria Math" w:eastAsiaTheme="majorEastAsia" w:hAnsi="Cambria Math" w:cs="Times New Roman"/>
                        <w:noProof/>
                        <w:sz w:val="20"/>
                        <w:szCs w:val="20"/>
                      </w:rPr>
                      <m:t>+RTln(</m:t>
                    </m:r>
                    <m:f>
                      <m:fPr>
                        <m:ctrlPr>
                          <w:rPr>
                            <w:rFonts w:ascii="Cambria Math" w:eastAsiaTheme="majorEastAsia" w:hAnsi="Cambria Math" w:cs="Times New Roman"/>
                            <w:bCs/>
                            <w:noProof/>
                            <w:sz w:val="20"/>
                            <w:szCs w:val="20"/>
                          </w:rPr>
                        </m:ctrlPr>
                      </m:fPr>
                      <m:num>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C</m:t>
                            </m:r>
                          </m:e>
                          <m:sub>
                            <m:r>
                              <w:rPr>
                                <w:rFonts w:ascii="Cambria Math" w:eastAsiaTheme="majorEastAsia" w:hAnsi="Cambria Math" w:cs="Times New Roman"/>
                                <w:noProof/>
                                <w:sz w:val="20"/>
                                <w:szCs w:val="20"/>
                              </w:rPr>
                              <m:t>i</m:t>
                            </m:r>
                          </m:sub>
                        </m:sSub>
                      </m:num>
                      <m:den>
                        <m:sSubSup>
                          <m:sSubSupPr>
                            <m:ctrlPr>
                              <w:rPr>
                                <w:rFonts w:ascii="Cambria Math" w:eastAsiaTheme="majorEastAsia" w:hAnsi="Cambria Math" w:cs="Times New Roman"/>
                                <w:bCs/>
                                <w:noProof/>
                                <w:sz w:val="20"/>
                                <w:szCs w:val="20"/>
                              </w:rPr>
                            </m:ctrlPr>
                          </m:sSubSupPr>
                          <m:e>
                            <m:r>
                              <w:rPr>
                                <w:rFonts w:ascii="Cambria Math" w:eastAsiaTheme="majorEastAsia" w:hAnsi="Cambria Math" w:cs="Times New Roman"/>
                                <w:noProof/>
                                <w:sz w:val="20"/>
                                <w:szCs w:val="20"/>
                              </w:rPr>
                              <m:t>C</m:t>
                            </m:r>
                          </m:e>
                          <m:sub>
                            <m:r>
                              <w:rPr>
                                <w:rFonts w:ascii="Cambria Math" w:eastAsiaTheme="majorEastAsia" w:hAnsi="Cambria Math" w:cs="Times New Roman"/>
                                <w:noProof/>
                                <w:sz w:val="20"/>
                                <w:szCs w:val="20"/>
                              </w:rPr>
                              <m:t>i</m:t>
                            </m:r>
                          </m:sub>
                          <m:sup>
                            <m:r>
                              <w:rPr>
                                <w:rFonts w:ascii="Cambria Math" w:eastAsiaTheme="majorEastAsia" w:hAnsi="Cambria Math" w:cs="Times New Roman"/>
                                <w:noProof/>
                                <w:sz w:val="20"/>
                                <w:szCs w:val="20"/>
                              </w:rPr>
                              <m:t>st</m:t>
                            </m:r>
                          </m:sup>
                        </m:sSubSup>
                      </m:den>
                    </m:f>
                    <m:r>
                      <w:rPr>
                        <w:rFonts w:ascii="Cambria Math" w:eastAsiaTheme="majorEastAsia" w:hAnsi="Cambria Math" w:cs="Times New Roman"/>
                        <w:noProof/>
                        <w:sz w:val="20"/>
                        <w:szCs w:val="20"/>
                      </w:rPr>
                      <m:t>)</m:t>
                    </m:r>
                  </m:e>
                </m:nary>
                <m:r>
                  <w:rPr>
                    <w:rFonts w:ascii="Cambria Math" w:eastAsiaTheme="majorEastAsia" w:hAnsi="Cambria Math" w:cs="Times New Roman"/>
                    <w:noProof/>
                    <w:sz w:val="20"/>
                    <w:szCs w:val="20"/>
                  </w:rPr>
                  <m:t>]+E</m:t>
                </m:r>
              </m:oMath>
            </m:oMathPara>
          </w:p>
        </w:tc>
        <w:tc>
          <w:tcPr>
            <w:tcW w:w="923" w:type="dxa"/>
            <w:tcBorders>
              <w:top w:val="single" w:sz="4" w:space="0" w:color="auto"/>
              <w:bottom w:val="single" w:sz="4" w:space="0" w:color="auto"/>
            </w:tcBorders>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(9)</w:t>
            </w:r>
          </w:p>
        </w:tc>
      </w:tr>
      <w:tr w:rsidR="008E6C43" w:rsidRPr="00A53157" w:rsidTr="00E10730">
        <w:tc>
          <w:tcPr>
            <w:tcW w:w="9962" w:type="dxa"/>
            <w:gridSpan w:val="2"/>
            <w:tcBorders>
              <w:top w:val="single" w:sz="4" w:space="0" w:color="auto"/>
              <w:left w:val="single" w:sz="4" w:space="0" w:color="auto"/>
              <w:bottom w:val="single" w:sz="4" w:space="0" w:color="auto"/>
              <w:right w:val="single" w:sz="4" w:space="0" w:color="auto"/>
            </w:tcBorders>
          </w:tcPr>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
                <w:bCs/>
                <w:noProof/>
                <w:sz w:val="20"/>
                <w:szCs w:val="20"/>
              </w:rPr>
              <w:lastRenderedPageBreak/>
              <w:t>Description</w:t>
            </w:r>
            <w:r w:rsidRPr="00A53157">
              <w:rPr>
                <w:rFonts w:ascii="Palatino Linotype" w:eastAsiaTheme="majorEastAsia" w:hAnsi="Palatino Linotype" w:cs="Times New Roman"/>
                <w:bCs/>
                <w:noProof/>
                <w:sz w:val="20"/>
                <w:szCs w:val="20"/>
              </w:rPr>
              <w:t>:</w:t>
            </w:r>
          </w:p>
          <w:p w:rsidR="008E6C43" w:rsidRPr="00A53157" w:rsidRDefault="008E6C43" w:rsidP="00A53157">
            <w:pPr>
              <w:tabs>
                <w:tab w:val="left" w:pos="2100"/>
              </w:tabs>
              <w:snapToGri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The Gibbs free energy of reaction </w:t>
            </w:r>
            <w:r w:rsidRPr="00A53157">
              <w:rPr>
                <w:rFonts w:ascii="Palatino Linotype" w:eastAsiaTheme="majorEastAsia" w:hAnsi="Palatino Linotype" w:cs="Times New Roman"/>
                <w:b/>
                <w:bCs/>
                <w:noProof/>
                <w:sz w:val="20"/>
                <w:szCs w:val="20"/>
              </w:rPr>
              <w:t>j</w:t>
            </w:r>
            <w:r w:rsidRPr="00A53157">
              <w:rPr>
                <w:rFonts w:ascii="Palatino Linotype" w:eastAsiaTheme="majorEastAsia" w:hAnsi="Palatino Linotype" w:cs="Times New Roman"/>
                <w:bCs/>
                <w:noProof/>
                <w:sz w:val="20"/>
                <w:szCs w:val="20"/>
              </w:rPr>
              <w:t xml:space="preserve"> (</w:t>
            </w:r>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
                <w:bCs/>
                <w:noProof/>
                <w:sz w:val="20"/>
                <w:szCs w:val="20"/>
                <w:vertAlign w:val="subscript"/>
              </w:rPr>
              <w:t>r</w:t>
            </w:r>
            <w:r w:rsidRPr="00A53157">
              <w:rPr>
                <w:rFonts w:ascii="Palatino Linotype" w:eastAsiaTheme="majorEastAsia" w:hAnsi="Palatino Linotype" w:cs="Times New Roman"/>
                <w:b/>
                <w:bCs/>
                <w:noProof/>
                <w:sz w:val="20"/>
                <w:szCs w:val="20"/>
              </w:rPr>
              <w:t>G</w:t>
            </w:r>
            <w:r w:rsidRPr="00A53157">
              <w:rPr>
                <w:rFonts w:ascii="Palatino Linotype" w:eastAsiaTheme="majorEastAsia" w:hAnsi="Palatino Linotype" w:cs="Times New Roman"/>
                <w:b/>
                <w:bCs/>
                <w:noProof/>
                <w:sz w:val="20"/>
                <w:szCs w:val="20"/>
                <w:vertAlign w:val="subscript"/>
              </w:rPr>
              <w:t>j</w:t>
            </w:r>
            <w:r w:rsidRPr="00A53157">
              <w:rPr>
                <w:rFonts w:ascii="Palatino Linotype" w:eastAsiaTheme="majorEastAsia" w:hAnsi="Palatino Linotype" w:cs="Times New Roman"/>
                <w:bCs/>
                <w:noProof/>
                <w:sz w:val="20"/>
                <w:szCs w:val="20"/>
              </w:rPr>
              <w:t xml:space="preserve">) is calculated by subtracting the sum of the Gibbs free energy of formation </w:t>
            </w:r>
            <w:bookmarkStart w:id="34" w:name="OLE_LINK110"/>
            <w:bookmarkStart w:id="35" w:name="OLE_LINK111"/>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
                <w:bCs/>
                <w:noProof/>
                <w:sz w:val="20"/>
                <w:szCs w:val="20"/>
                <w:vertAlign w:val="subscript"/>
              </w:rPr>
              <w:t>f</w:t>
            </w:r>
            <w:r w:rsidRPr="00A53157">
              <w:rPr>
                <w:rFonts w:ascii="Palatino Linotype" w:eastAsiaTheme="majorEastAsia" w:hAnsi="Palatino Linotype" w:cs="Times New Roman"/>
                <w:b/>
                <w:bCs/>
                <w:noProof/>
                <w:sz w:val="20"/>
                <w:szCs w:val="20"/>
              </w:rPr>
              <w:t>G</w:t>
            </w:r>
            <w:bookmarkEnd w:id="34"/>
            <w:bookmarkEnd w:id="35"/>
            <w:r w:rsidRPr="00A53157">
              <w:rPr>
                <w:rFonts w:ascii="Palatino Linotype" w:eastAsiaTheme="majorEastAsia" w:hAnsi="Palatino Linotype" w:cs="Times New Roman"/>
                <w:bCs/>
                <w:noProof/>
                <w:sz w:val="20"/>
                <w:szCs w:val="20"/>
              </w:rPr>
              <w:t xml:space="preserve"> of reactants from that of products. Here, </w:t>
            </w:r>
            <w:r w:rsidRPr="00A53157">
              <w:rPr>
                <w:rFonts w:ascii="Palatino Linotype" w:eastAsiaTheme="majorEastAsia" w:hAnsi="Palatino Linotype" w:cs="Times New Roman"/>
                <w:b/>
                <w:bCs/>
                <w:noProof/>
                <w:sz w:val="20"/>
                <w:szCs w:val="20"/>
              </w:rPr>
              <w:t>η</w:t>
            </w:r>
            <w:r w:rsidRPr="00A53157">
              <w:rPr>
                <w:rFonts w:ascii="Palatino Linotype" w:eastAsiaTheme="majorEastAsia" w:hAnsi="Palatino Linotype" w:cs="Times New Roman"/>
                <w:b/>
                <w:bCs/>
                <w:noProof/>
                <w:sz w:val="20"/>
                <w:szCs w:val="20"/>
                <w:vertAlign w:val="subscript"/>
              </w:rPr>
              <w:t>i</w:t>
            </w:r>
            <w:r w:rsidRPr="00A53157">
              <w:rPr>
                <w:rFonts w:ascii="Palatino Linotype" w:eastAsiaTheme="majorEastAsia" w:hAnsi="Palatino Linotype" w:cs="Times New Roman"/>
                <w:bCs/>
                <w:noProof/>
                <w:sz w:val="20"/>
                <w:szCs w:val="20"/>
              </w:rPr>
              <w:t xml:space="preserve"> is the stoichiometric coefficient of a metabolite </w:t>
            </w:r>
            <w:r w:rsidRPr="00A53157">
              <w:rPr>
                <w:rFonts w:ascii="Palatino Linotype" w:eastAsiaTheme="majorEastAsia" w:hAnsi="Palatino Linotype" w:cs="Times New Roman"/>
                <w:b/>
                <w:bCs/>
                <w:noProof/>
                <w:sz w:val="20"/>
                <w:szCs w:val="20"/>
              </w:rPr>
              <w:t>i</w:t>
            </w:r>
            <w:r w:rsidRPr="00A53157">
              <w:rPr>
                <w:rFonts w:ascii="Palatino Linotype" w:eastAsiaTheme="majorEastAsia" w:hAnsi="Palatino Linotype" w:cs="Times New Roman"/>
                <w:bCs/>
                <w:noProof/>
                <w:sz w:val="20"/>
                <w:szCs w:val="20"/>
              </w:rPr>
              <w:t xml:space="preserve">, and </w:t>
            </w:r>
            <w:bookmarkStart w:id="36" w:name="OLE_LINK112"/>
            <w:bookmarkStart w:id="37" w:name="OLE_LINK113"/>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
                <w:bCs/>
                <w:noProof/>
                <w:sz w:val="20"/>
                <w:szCs w:val="20"/>
                <w:vertAlign w:val="subscript"/>
              </w:rPr>
              <w:t>f</w:t>
            </w:r>
            <w:r w:rsidRPr="00A53157">
              <w:rPr>
                <w:rFonts w:ascii="Palatino Linotype" w:eastAsiaTheme="majorEastAsia" w:hAnsi="Palatino Linotype" w:cs="Times New Roman"/>
                <w:b/>
                <w:bCs/>
                <w:noProof/>
                <w:sz w:val="20"/>
                <w:szCs w:val="20"/>
              </w:rPr>
              <w:t>G</w:t>
            </w:r>
            <w:r w:rsidRPr="00A53157">
              <w:rPr>
                <w:rFonts w:ascii="Palatino Linotype" w:eastAsiaTheme="majorEastAsia" w:hAnsi="Palatino Linotype" w:cs="Times New Roman"/>
                <w:b/>
                <w:bCs/>
                <w:noProof/>
                <w:sz w:val="20"/>
                <w:szCs w:val="20"/>
                <w:vertAlign w:val="subscript"/>
              </w:rPr>
              <w:t>i</w:t>
            </w:r>
            <w:r w:rsidRPr="00A53157">
              <w:rPr>
                <w:rFonts w:ascii="Palatino Linotype" w:eastAsiaTheme="majorEastAsia" w:hAnsi="Palatino Linotype" w:cs="Times New Roman"/>
                <w:b/>
                <w:bCs/>
                <w:noProof/>
                <w:sz w:val="20"/>
                <w:szCs w:val="20"/>
                <w:vertAlign w:val="superscript"/>
              </w:rPr>
              <w:t>0</w:t>
            </w:r>
            <w:bookmarkEnd w:id="36"/>
            <w:bookmarkEnd w:id="37"/>
            <w:r w:rsidRPr="00A53157">
              <w:rPr>
                <w:rFonts w:ascii="Palatino Linotype" w:eastAsiaTheme="majorEastAsia" w:hAnsi="Palatino Linotype" w:cs="Times New Roman"/>
                <w:bCs/>
                <w:noProof/>
                <w:sz w:val="20"/>
                <w:szCs w:val="20"/>
              </w:rPr>
              <w:t xml:space="preserve"> is its standard </w:t>
            </w:r>
            <w:bookmarkStart w:id="38" w:name="OLE_LINK346"/>
            <w:r w:rsidRPr="00A53157">
              <w:rPr>
                <w:rFonts w:ascii="Palatino Linotype" w:eastAsiaTheme="majorEastAsia" w:hAnsi="Palatino Linotype" w:cs="Times New Roman"/>
                <w:bCs/>
                <w:noProof/>
                <w:sz w:val="20"/>
                <w:szCs w:val="20"/>
              </w:rPr>
              <w:t>Gibbs free energy of formation</w:t>
            </w:r>
            <w:bookmarkEnd w:id="38"/>
            <w:r w:rsidRPr="00A53157">
              <w:rPr>
                <w:rFonts w:ascii="Palatino Linotype" w:eastAsiaTheme="majorEastAsia" w:hAnsi="Palatino Linotype" w:cs="Times New Roman"/>
                <w:bCs/>
                <w:noProof/>
                <w:sz w:val="20"/>
                <w:szCs w:val="20"/>
              </w:rPr>
              <w:t xml:space="preserve">. </w:t>
            </w:r>
          </w:p>
          <w:p w:rsidR="008E6C43" w:rsidRPr="00A53157" w:rsidRDefault="008E6C43" w:rsidP="00A53157">
            <w:pPr>
              <w:autoSpaceDE w:val="0"/>
              <w:autoSpaceDN w:val="0"/>
              <w:adjustRightIn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hAnsi="Palatino Linotype" w:cs="Times New Roman"/>
                <w:sz w:val="20"/>
                <w:szCs w:val="20"/>
              </w:rPr>
              <w:t xml:space="preserve">One of the main challenges in thermodynamic analysis lies in deriving reliable values of standard Gibbs free energy to correctly describe the relationship between network components. Here, </w:t>
            </w:r>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
                <w:bCs/>
                <w:noProof/>
                <w:sz w:val="20"/>
                <w:szCs w:val="20"/>
                <w:vertAlign w:val="subscript"/>
              </w:rPr>
              <w:t>f</w:t>
            </w:r>
            <w:r w:rsidRPr="00A53157">
              <w:rPr>
                <w:rFonts w:ascii="Palatino Linotype" w:eastAsiaTheme="majorEastAsia" w:hAnsi="Palatino Linotype" w:cs="Times New Roman"/>
                <w:b/>
                <w:bCs/>
                <w:noProof/>
                <w:sz w:val="20"/>
                <w:szCs w:val="20"/>
              </w:rPr>
              <w:t>G</w:t>
            </w:r>
            <w:r w:rsidRPr="00A53157">
              <w:rPr>
                <w:rFonts w:ascii="Palatino Linotype" w:eastAsiaTheme="majorEastAsia" w:hAnsi="Palatino Linotype" w:cs="Times New Roman"/>
                <w:b/>
                <w:bCs/>
                <w:noProof/>
                <w:sz w:val="20"/>
                <w:szCs w:val="20"/>
                <w:vertAlign w:val="subscript"/>
              </w:rPr>
              <w:t>i</w:t>
            </w:r>
            <w:r w:rsidRPr="00A53157">
              <w:rPr>
                <w:rFonts w:ascii="Palatino Linotype" w:eastAsiaTheme="majorEastAsia" w:hAnsi="Palatino Linotype" w:cs="Times New Roman"/>
                <w:b/>
                <w:bCs/>
                <w:noProof/>
                <w:sz w:val="20"/>
                <w:szCs w:val="20"/>
                <w:vertAlign w:val="superscript"/>
              </w:rPr>
              <w:t>0</w:t>
            </w:r>
            <w:r w:rsidRPr="00A53157">
              <w:rPr>
                <w:rFonts w:ascii="Palatino Linotype" w:eastAsiaTheme="majorEastAsia" w:hAnsi="Palatino Linotype" w:cs="Times New Roman"/>
                <w:bCs/>
                <w:noProof/>
                <w:sz w:val="20"/>
                <w:szCs w:val="20"/>
              </w:rPr>
              <w:t xml:space="preserve"> for all reactions (excluding the 14 artificial reactions and PHB synthesis) were calculated using the thermodynamic data estimated by the extended group contribution method (GCM) proposed by </w:t>
            </w:r>
            <w:bookmarkStart w:id="39" w:name="OLE_LINK345"/>
            <w:r w:rsidRPr="00A53157">
              <w:rPr>
                <w:rFonts w:ascii="Palatino Linotype" w:eastAsiaTheme="majorEastAsia" w:hAnsi="Palatino Linotype" w:cs="Times New Roman"/>
                <w:bCs/>
                <w:noProof/>
                <w:sz w:val="20"/>
                <w:szCs w:val="20"/>
              </w:rPr>
              <w:t xml:space="preserve">Jankowski </w:t>
            </w:r>
            <w:bookmarkEnd w:id="39"/>
            <w:r w:rsidRPr="00A53157">
              <w:rPr>
                <w:rFonts w:ascii="Palatino Linotype" w:eastAsiaTheme="majorEastAsia" w:hAnsi="Palatino Linotype" w:cs="Times New Roman"/>
                <w:bCs/>
                <w:noProof/>
                <w:sz w:val="20"/>
                <w:szCs w:val="20"/>
              </w:rPr>
              <w:t xml:space="preserve">et al. </w:t>
            </w:r>
            <w:r w:rsidRPr="00A53157">
              <w:rPr>
                <w:rFonts w:ascii="Palatino Linotype" w:eastAsiaTheme="majorEastAsia" w:hAnsi="Palatino Linotype" w:cs="Times New Roman"/>
                <w:bCs/>
                <w:i/>
                <w:noProof/>
                <w:sz w:val="20"/>
                <w:szCs w:val="20"/>
              </w:rPr>
              <w:fldChar w:fldCharType="begin" w:fldLock="1"/>
            </w:r>
            <w:r w:rsidR="005F49D2">
              <w:rPr>
                <w:rFonts w:ascii="Palatino Linotype" w:eastAsiaTheme="majorEastAsia" w:hAnsi="Palatino Linotype" w:cs="Times New Roman"/>
                <w:bCs/>
                <w:noProof/>
                <w:sz w:val="20"/>
                <w:szCs w:val="20"/>
              </w:rPr>
              <w:instrText>ADDIN CSL_CITATION {"citationItems":[{"id":"ITEM-1","itemData":{"DOI":"10.1529/biophysj.107.124784","ISBN":"0006-3495","ISSN":"1542-0086","PMID":"18645197","abstract":"A new, to our knowledge, group contribution method based on the group contribution method of Mavrovouniotis is introduced for estimating the standard Gibbs free energy of formation (Delta(f)G'(o)) and reaction (Delta(r)G'(o)) in biochemical systems. Gibbs free energy contribution values were estimated for 74 distinct molecular substructures and 11 interaction factors using multiple linear regression against a training set of 645 reactions and 224 compounds. The standard error for the fitted values was 1.90 kcal/mol. Cross-validation analysis was utilized to determine the accuracy of the methodology in estimating Delta(r)G'(o) and Delta(f)G'(o) for reactions and compounds not included in the training set, and based on the results of the cross-validation, the standard error involved in these estimations is 2.22 kcal/mol. This group contribution method is demonstrated to be capable of estimating Delta(r)G'(o) and Delta(f)G'(o) for the majority of the biochemical compounds and reactions found in the iJR904 and iAF1260 genome-scale metabolic models of Escherichia coli and in the Kyoto Encyclopedia of Genes and Genomes and University of Minnesota Biocatalysis and Biodegradation Database. A web-based implementation of this new group contribution method is available free at http://sparta.chem-eng.northwestern.edu/cgi-bin/GCM/WebGCM.cgi.","author":[{"dropping-particle":"","family":"Jankowski","given":"Matthew D.","non-dropping-particle":"","parse-names":false,"suffix":""},{"dropping-particle":"","family":"Henry","given":"Christopher S.","non-dropping-particle":"","parse-names":false,"suffix":""},{"dropping-particle":"","family":"Broadbelt","given":"Linda J.","non-dropping-particle":"","parse-names":false,"suffix":""},{"dropping-particle":"","family":"Hatzimanikatis","given":"Vassily","non-dropping-particle":"","parse-names":false,"suffix":""}],"container-title":"Biophysical Journal","id":"ITEM-1","issue":"3","issued":{"date-parts":[["2008"]]},"page":"1487-1499","title":"Group contribution method for thermodynamic analysis of complex metabolic networks.","type":"article-journal","volume":"95"},"uris":["http://www.mendeley.com/documents/?uuid=fb40410d-e965-4aa0-b9d4-bcea15ffecaf"]}],"mendeley":{"formattedCitation":"[4]","plainTextFormattedCitation":"[4]","previouslyFormattedCitation":"[4]"},"properties":{"noteIndex":0},"schema":"https://github.com/citation-style-language/schema/raw/master/csl-citation.json"}</w:instrText>
            </w:r>
            <w:r w:rsidRPr="00A53157">
              <w:rPr>
                <w:rFonts w:ascii="Palatino Linotype" w:eastAsiaTheme="majorEastAsia" w:hAnsi="Palatino Linotype" w:cs="Times New Roman"/>
                <w:bCs/>
                <w:i/>
                <w:noProof/>
                <w:sz w:val="20"/>
                <w:szCs w:val="20"/>
              </w:rPr>
              <w:fldChar w:fldCharType="separate"/>
            </w:r>
            <w:r w:rsidR="005F49D2" w:rsidRPr="005F49D2">
              <w:rPr>
                <w:rFonts w:ascii="Palatino Linotype" w:eastAsiaTheme="majorEastAsia" w:hAnsi="Palatino Linotype" w:cs="Times New Roman"/>
                <w:bCs/>
                <w:noProof/>
                <w:sz w:val="20"/>
                <w:szCs w:val="20"/>
              </w:rPr>
              <w:t>[4]</w:t>
            </w:r>
            <w:r w:rsidRPr="00A53157">
              <w:rPr>
                <w:rFonts w:ascii="Palatino Linotype" w:eastAsiaTheme="majorEastAsia" w:hAnsi="Palatino Linotype" w:cs="Times New Roman"/>
                <w:bCs/>
                <w:i/>
                <w:noProof/>
                <w:sz w:val="20"/>
                <w:szCs w:val="20"/>
              </w:rPr>
              <w:fldChar w:fldCharType="end"/>
            </w:r>
            <w:r w:rsidRPr="00A53157">
              <w:rPr>
                <w:rFonts w:ascii="Palatino Linotype" w:eastAsiaTheme="majorEastAsia" w:hAnsi="Palatino Linotype" w:cs="Times New Roman"/>
                <w:bCs/>
                <w:noProof/>
                <w:sz w:val="20"/>
                <w:szCs w:val="20"/>
              </w:rPr>
              <w:t xml:space="preserve">. </w:t>
            </w:r>
          </w:p>
          <w:p w:rsidR="008E6C43" w:rsidRPr="00A53157" w:rsidRDefault="008E6C43" w:rsidP="00A53157">
            <w:pPr>
              <w:autoSpaceDE w:val="0"/>
              <w:autoSpaceDN w:val="0"/>
              <w:adjustRightInd w:val="0"/>
              <w:spacing w:after="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In GCM, the molecular structure of the metabolite </w:t>
            </w:r>
            <w:r w:rsidRPr="00A53157">
              <w:rPr>
                <w:rFonts w:ascii="Palatino Linotype" w:eastAsiaTheme="majorEastAsia" w:hAnsi="Palatino Linotype" w:cs="Times New Roman"/>
                <w:b/>
                <w:bCs/>
                <w:noProof/>
                <w:sz w:val="20"/>
                <w:szCs w:val="20"/>
              </w:rPr>
              <w:t>i</w:t>
            </w:r>
            <w:r w:rsidRPr="00A53157">
              <w:rPr>
                <w:rFonts w:ascii="Palatino Linotype" w:eastAsiaTheme="majorEastAsia" w:hAnsi="Palatino Linotype" w:cs="Times New Roman"/>
                <w:bCs/>
                <w:noProof/>
                <w:sz w:val="20"/>
                <w:szCs w:val="20"/>
              </w:rPr>
              <w:t xml:space="preserve"> is broken down into several smaller constituent structural groups, and </w:t>
            </w:r>
            <w:r w:rsidRPr="00A53157">
              <w:rPr>
                <w:rFonts w:ascii="Palatino Linotype" w:hAnsi="Palatino Linotype" w:cs="Times New Roman"/>
                <w:sz w:val="20"/>
                <w:szCs w:val="20"/>
              </w:rPr>
              <w:t>a </w:t>
            </w:r>
            <w:r w:rsidRPr="00A53157">
              <w:rPr>
                <w:rFonts w:ascii="Palatino Linotype" w:hAnsi="Palatino Linotype" w:cs="Times New Roman"/>
                <w:bCs/>
                <w:sz w:val="20"/>
                <w:szCs w:val="20"/>
              </w:rPr>
              <w:t>linear structure</w:t>
            </w:r>
            <w:r w:rsidRPr="00A53157">
              <w:rPr>
                <w:rFonts w:ascii="Palatino Linotype" w:hAnsi="Palatino Linotype" w:cs="Times New Roman"/>
                <w:sz w:val="20"/>
                <w:szCs w:val="20"/>
              </w:rPr>
              <w:t>-property relation is assumed</w:t>
            </w:r>
            <w:r w:rsidRPr="00A53157">
              <w:rPr>
                <w:rFonts w:ascii="Palatino Linotype" w:eastAsiaTheme="majorEastAsia" w:hAnsi="Palatino Linotype" w:cs="Times New Roman"/>
                <w:bCs/>
                <w:noProof/>
                <w:sz w:val="20"/>
                <w:szCs w:val="20"/>
              </w:rPr>
              <w:t xml:space="preserve">. Then </w:t>
            </w:r>
            <w:bookmarkStart w:id="40" w:name="OLE_LINK21"/>
            <w:bookmarkStart w:id="41" w:name="OLE_LINK22"/>
            <w:r w:rsidRPr="00A53157">
              <w:rPr>
                <w:rFonts w:ascii="Palatino Linotype" w:eastAsiaTheme="majorEastAsia" w:hAnsi="Palatino Linotype" w:cs="Times New Roman"/>
                <w:b/>
                <w:bCs/>
                <w:noProof/>
                <w:sz w:val="20"/>
                <w:szCs w:val="20"/>
              </w:rPr>
              <w:t>∆</w:t>
            </w:r>
            <w:r w:rsidRPr="00A53157">
              <w:rPr>
                <w:rFonts w:ascii="Palatino Linotype" w:eastAsiaTheme="majorEastAsia" w:hAnsi="Palatino Linotype" w:cs="Times New Roman"/>
                <w:b/>
                <w:bCs/>
                <w:noProof/>
                <w:sz w:val="20"/>
                <w:szCs w:val="20"/>
                <w:vertAlign w:val="subscript"/>
              </w:rPr>
              <w:t>f</w:t>
            </w:r>
            <w:r w:rsidRPr="00A53157">
              <w:rPr>
                <w:rFonts w:ascii="Palatino Linotype" w:eastAsiaTheme="majorEastAsia" w:hAnsi="Palatino Linotype" w:cs="Times New Roman"/>
                <w:b/>
                <w:bCs/>
                <w:noProof/>
                <w:sz w:val="20"/>
                <w:szCs w:val="20"/>
              </w:rPr>
              <w:t>G</w:t>
            </w:r>
            <w:r w:rsidRPr="00A53157">
              <w:rPr>
                <w:rFonts w:ascii="Palatino Linotype" w:eastAsiaTheme="majorEastAsia" w:hAnsi="Palatino Linotype" w:cs="Times New Roman"/>
                <w:b/>
                <w:bCs/>
                <w:noProof/>
                <w:sz w:val="20"/>
                <w:szCs w:val="20"/>
                <w:vertAlign w:val="subscript"/>
              </w:rPr>
              <w:t>i</w:t>
            </w:r>
            <w:r w:rsidRPr="00A53157">
              <w:rPr>
                <w:rFonts w:ascii="Palatino Linotype" w:eastAsiaTheme="majorEastAsia" w:hAnsi="Palatino Linotype" w:cs="Times New Roman"/>
                <w:b/>
                <w:bCs/>
                <w:noProof/>
                <w:sz w:val="20"/>
                <w:szCs w:val="20"/>
                <w:vertAlign w:val="superscript"/>
              </w:rPr>
              <w:t>0</w:t>
            </w:r>
            <w:bookmarkEnd w:id="40"/>
            <w:bookmarkEnd w:id="41"/>
            <w:r w:rsidRPr="00A53157">
              <w:rPr>
                <w:rFonts w:ascii="Palatino Linotype" w:eastAsiaTheme="majorEastAsia" w:hAnsi="Palatino Linotype" w:cs="Times New Roman"/>
                <w:bCs/>
                <w:noProof/>
                <w:sz w:val="20"/>
                <w:szCs w:val="20"/>
              </w:rPr>
              <w:t xml:space="preserve"> can be obtained as the sum of contributions of all groups in terms of Gibbs free energy of formation. The uncertainties of the estimated Gibbs free energy changes were accounted for by including an error variable E. The values of </w:t>
            </w:r>
            <w:r w:rsidR="00B421E0" w:rsidRPr="00A53157">
              <w:rPr>
                <w:rFonts w:ascii="Palatino Linotype" w:eastAsiaTheme="majorEastAsia" w:hAnsi="Palatino Linotype" w:cs="Times New Roman"/>
                <w:b/>
                <w:bCs/>
                <w:noProof/>
                <w:sz w:val="20"/>
                <w:szCs w:val="20"/>
              </w:rPr>
              <w:t>∆</w:t>
            </w:r>
            <w:r w:rsidR="00B421E0" w:rsidRPr="00A53157">
              <w:rPr>
                <w:rFonts w:ascii="Palatino Linotype" w:eastAsiaTheme="majorEastAsia" w:hAnsi="Palatino Linotype" w:cs="Times New Roman"/>
                <w:b/>
                <w:bCs/>
                <w:noProof/>
                <w:sz w:val="20"/>
                <w:szCs w:val="20"/>
                <w:vertAlign w:val="subscript"/>
              </w:rPr>
              <w:t>f</w:t>
            </w:r>
            <w:r w:rsidR="00B421E0" w:rsidRPr="00A53157">
              <w:rPr>
                <w:rFonts w:ascii="Palatino Linotype" w:eastAsiaTheme="majorEastAsia" w:hAnsi="Palatino Linotype" w:cs="Times New Roman"/>
                <w:b/>
                <w:bCs/>
                <w:noProof/>
                <w:sz w:val="20"/>
                <w:szCs w:val="20"/>
              </w:rPr>
              <w:t>G</w:t>
            </w:r>
            <w:r w:rsidR="00B421E0" w:rsidRPr="00A53157">
              <w:rPr>
                <w:rFonts w:ascii="Palatino Linotype" w:eastAsiaTheme="majorEastAsia" w:hAnsi="Palatino Linotype" w:cs="Times New Roman"/>
                <w:b/>
                <w:bCs/>
                <w:noProof/>
                <w:sz w:val="20"/>
                <w:szCs w:val="20"/>
                <w:vertAlign w:val="subscript"/>
              </w:rPr>
              <w:t>i</w:t>
            </w:r>
            <w:r w:rsidR="00B421E0" w:rsidRPr="00A53157">
              <w:rPr>
                <w:rFonts w:ascii="Palatino Linotype" w:eastAsiaTheme="majorEastAsia" w:hAnsi="Palatino Linotype" w:cs="Times New Roman"/>
                <w:b/>
                <w:bCs/>
                <w:noProof/>
                <w:sz w:val="20"/>
                <w:szCs w:val="20"/>
                <w:vertAlign w:val="superscript"/>
              </w:rPr>
              <w:t>0</w:t>
            </w:r>
            <w:r w:rsidRPr="00A53157">
              <w:rPr>
                <w:rFonts w:ascii="Palatino Linotype" w:eastAsiaTheme="majorEastAsia" w:hAnsi="Palatino Linotype" w:cs="Times New Roman"/>
                <w:bCs/>
                <w:noProof/>
                <w:sz w:val="20"/>
                <w:szCs w:val="20"/>
              </w:rPr>
              <w:t xml:space="preserve"> and E </w:t>
            </w:r>
            <w:r w:rsidR="00B421E0" w:rsidRPr="00A53157">
              <w:rPr>
                <w:rFonts w:ascii="Palatino Linotype" w:eastAsiaTheme="majorEastAsia" w:hAnsi="Palatino Linotype" w:cs="Times New Roman"/>
                <w:bCs/>
                <w:noProof/>
                <w:sz w:val="20"/>
                <w:szCs w:val="20"/>
              </w:rPr>
              <w:t>can be found in ‘</w:t>
            </w:r>
            <w:r w:rsidR="00A53157" w:rsidRPr="00A53157">
              <w:rPr>
                <w:rFonts w:ascii="Palatino Linotype" w:hAnsi="Palatino Linotype" w:cs="Times New Roman"/>
                <w:noProof/>
                <w:sz w:val="20"/>
                <w:szCs w:val="20"/>
                <w:shd w:val="clear" w:color="auto" w:fill="FFFFFF"/>
              </w:rPr>
              <w:t>File S2.xlsx</w:t>
            </w:r>
            <w:r w:rsidR="00B421E0" w:rsidRPr="00A53157">
              <w:rPr>
                <w:rFonts w:ascii="Palatino Linotype" w:hAnsi="Palatino Linotype" w:cs="Times New Roman"/>
                <w:noProof/>
                <w:sz w:val="20"/>
                <w:szCs w:val="20"/>
                <w:shd w:val="clear" w:color="auto" w:fill="FFFFFF"/>
              </w:rPr>
              <w:t>’</w:t>
            </w:r>
          </w:p>
          <w:p w:rsidR="008E6C43" w:rsidRPr="00A53157" w:rsidRDefault="008E6C43" w:rsidP="00A53157">
            <w:pPr>
              <w:autoSpaceDE w:val="0"/>
              <w:autoSpaceDN w:val="0"/>
              <w:adjustRightInd w:val="0"/>
              <w:spacing w:after="0" w:line="240" w:lineRule="atLeast"/>
              <w:jc w:val="both"/>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
                <w:bCs/>
                <w:noProof/>
                <w:sz w:val="20"/>
                <w:szCs w:val="20"/>
              </w:rPr>
              <w:t>C</w:t>
            </w:r>
            <w:r w:rsidRPr="00A53157">
              <w:rPr>
                <w:rFonts w:ascii="Palatino Linotype" w:eastAsiaTheme="majorEastAsia" w:hAnsi="Palatino Linotype" w:cs="Times New Roman"/>
                <w:b/>
                <w:bCs/>
                <w:noProof/>
                <w:sz w:val="20"/>
                <w:szCs w:val="20"/>
                <w:vertAlign w:val="subscript"/>
              </w:rPr>
              <w:t>i</w:t>
            </w:r>
            <w:r w:rsidRPr="00A53157">
              <w:rPr>
                <w:rFonts w:ascii="Palatino Linotype" w:eastAsiaTheme="majorEastAsia" w:hAnsi="Palatino Linotype" w:cs="Times New Roman"/>
                <w:b/>
                <w:bCs/>
                <w:noProof/>
                <w:sz w:val="20"/>
                <w:szCs w:val="20"/>
                <w:vertAlign w:val="superscript"/>
              </w:rPr>
              <w:t>st</w:t>
            </w:r>
            <w:r w:rsidRPr="00A53157">
              <w:rPr>
                <w:rFonts w:ascii="Palatino Linotype" w:eastAsiaTheme="majorEastAsia" w:hAnsi="Palatino Linotype" w:cs="Times New Roman"/>
                <w:bCs/>
                <w:noProof/>
                <w:sz w:val="20"/>
                <w:szCs w:val="20"/>
              </w:rPr>
              <w:t xml:space="preserve"> is the standard concentration of the metabolite </w:t>
            </w:r>
            <w:r w:rsidRPr="00A53157">
              <w:rPr>
                <w:rFonts w:ascii="Palatino Linotype" w:eastAsiaTheme="majorEastAsia" w:hAnsi="Palatino Linotype" w:cs="Times New Roman"/>
                <w:b/>
                <w:bCs/>
                <w:noProof/>
                <w:sz w:val="20"/>
                <w:szCs w:val="20"/>
              </w:rPr>
              <w:t>i</w:t>
            </w:r>
            <w:r w:rsidRPr="00A53157">
              <w:rPr>
                <w:rFonts w:ascii="Palatino Linotype" w:eastAsiaTheme="majorEastAsia" w:hAnsi="Palatino Linotype" w:cs="Times New Roman"/>
                <w:bCs/>
                <w:noProof/>
                <w:sz w:val="20"/>
                <w:szCs w:val="20"/>
              </w:rPr>
              <w:t xml:space="preserve"> (which is equal to 1 M), and </w:t>
            </w:r>
            <w:r w:rsidRPr="00A53157">
              <w:rPr>
                <w:rFonts w:ascii="Palatino Linotype" w:eastAsiaTheme="majorEastAsia" w:hAnsi="Palatino Linotype" w:cs="Times New Roman"/>
                <w:b/>
                <w:bCs/>
                <w:noProof/>
                <w:sz w:val="20"/>
                <w:szCs w:val="20"/>
              </w:rPr>
              <w:t>C</w:t>
            </w:r>
            <w:r w:rsidRPr="00A53157">
              <w:rPr>
                <w:rFonts w:ascii="Palatino Linotype" w:eastAsiaTheme="majorEastAsia" w:hAnsi="Palatino Linotype" w:cs="Times New Roman"/>
                <w:b/>
                <w:bCs/>
                <w:noProof/>
                <w:sz w:val="20"/>
                <w:szCs w:val="20"/>
                <w:vertAlign w:val="subscript"/>
              </w:rPr>
              <w:t>i</w:t>
            </w:r>
            <w:r w:rsidRPr="00A53157">
              <w:rPr>
                <w:rFonts w:ascii="Palatino Linotype" w:eastAsiaTheme="majorEastAsia" w:hAnsi="Palatino Linotype" w:cs="Times New Roman"/>
                <w:bCs/>
                <w:noProof/>
                <w:sz w:val="20"/>
                <w:szCs w:val="20"/>
              </w:rPr>
              <w:t xml:space="preserve"> is the actual intracellular metabolite concentration. </w:t>
            </w:r>
          </w:p>
          <w:p w:rsidR="00BE2446" w:rsidRPr="00A53157" w:rsidRDefault="00BE2446" w:rsidP="00A53157">
            <w:pPr>
              <w:autoSpaceDE w:val="0"/>
              <w:autoSpaceDN w:val="0"/>
              <w:adjustRightInd w:val="0"/>
              <w:spacing w:after="0" w:line="240" w:lineRule="atLeast"/>
              <w:jc w:val="both"/>
              <w:rPr>
                <w:rFonts w:ascii="Palatino Linotype" w:eastAsiaTheme="majorEastAsia" w:hAnsi="Palatino Linotype" w:cs="Times New Roman"/>
                <w:bCs/>
                <w:i/>
                <w:noProof/>
                <w:sz w:val="20"/>
                <w:szCs w:val="20"/>
              </w:rPr>
            </w:pPr>
          </w:p>
        </w:tc>
      </w:tr>
    </w:tbl>
    <w:bookmarkEnd w:id="20"/>
    <w:bookmarkEnd w:id="21"/>
    <w:p w:rsidR="008E6C43" w:rsidRPr="00A53157" w:rsidRDefault="008E6C43" w:rsidP="00A53157">
      <w:p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The dimensions of the matrices and vectors involved in the calculation are summarised in the table below (Table </w:t>
      </w:r>
      <w:r w:rsidR="00B421E0" w:rsidRPr="00A53157">
        <w:rPr>
          <w:rFonts w:ascii="Palatino Linotype" w:eastAsiaTheme="majorEastAsia" w:hAnsi="Palatino Linotype" w:cs="Times New Roman"/>
          <w:bCs/>
          <w:noProof/>
          <w:sz w:val="20"/>
          <w:szCs w:val="20"/>
        </w:rPr>
        <w:t>2</w:t>
      </w:r>
      <w:r w:rsidRPr="00A53157">
        <w:rPr>
          <w:rFonts w:ascii="Palatino Linotype" w:eastAsiaTheme="majorEastAsia" w:hAnsi="Palatino Linotype" w:cs="Times New Roman"/>
          <w:bCs/>
          <w:noProof/>
          <w:sz w:val="20"/>
          <w:szCs w:val="20"/>
        </w:rPr>
        <w:t xml:space="preserve">). </w:t>
      </w:r>
    </w:p>
    <w:tbl>
      <w:tblPr>
        <w:tblStyle w:val="af3"/>
        <w:tblW w:w="0" w:type="auto"/>
        <w:jc w:val="center"/>
        <w:tblLook w:val="04A0" w:firstRow="1" w:lastRow="0" w:firstColumn="1" w:lastColumn="0" w:noHBand="0" w:noVBand="1"/>
      </w:tblPr>
      <w:tblGrid>
        <w:gridCol w:w="1006"/>
        <w:gridCol w:w="5250"/>
        <w:gridCol w:w="1309"/>
      </w:tblGrid>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Notation</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Name</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Dimension</w:t>
            </w:r>
          </w:p>
        </w:tc>
      </w:tr>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S</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Stoichiometric Matrix</w:t>
            </w:r>
          </w:p>
        </w:tc>
        <w:tc>
          <w:tcPr>
            <w:tcW w:w="0" w:type="auto"/>
            <w:vAlign w:val="center"/>
          </w:tcPr>
          <w:p w:rsidR="008E6C43" w:rsidRPr="00147FF5" w:rsidRDefault="001F1187"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bookmarkStart w:id="42" w:name="OLE_LINK289"/>
            <w:r w:rsidRPr="00147FF5">
              <w:rPr>
                <w:rFonts w:ascii="Palatino Linotype" w:eastAsiaTheme="majorEastAsia" w:hAnsi="Palatino Linotype" w:cs="Times New Roman"/>
                <w:bCs/>
                <w:noProof/>
                <w:sz w:val="20"/>
                <w:szCs w:val="20"/>
              </w:rPr>
              <w:t>m</w:t>
            </w:r>
            <w:r w:rsidR="008E6C43" w:rsidRPr="00147FF5">
              <w:rPr>
                <w:rFonts w:ascii="Palatino Linotype" w:eastAsiaTheme="majorEastAsia" w:hAnsi="Palatino Linotype" w:cs="Times New Roman"/>
                <w:bCs/>
                <w:noProof/>
                <w:sz w:val="20"/>
                <w:szCs w:val="20"/>
              </w:rPr>
              <w:t>×</w:t>
            </w:r>
            <w:bookmarkEnd w:id="42"/>
            <w:r w:rsidRPr="00147FF5">
              <w:rPr>
                <w:rFonts w:ascii="Palatino Linotype" w:eastAsiaTheme="majorEastAsia" w:hAnsi="Palatino Linotype" w:cs="Times New Roman"/>
                <w:bCs/>
                <w:noProof/>
                <w:sz w:val="20"/>
                <w:szCs w:val="20"/>
              </w:rPr>
              <w:t>n</w:t>
            </w:r>
          </w:p>
        </w:tc>
      </w:tr>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obj</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Objective function</w:t>
            </w:r>
          </w:p>
        </w:tc>
        <w:tc>
          <w:tcPr>
            <w:tcW w:w="0" w:type="auto"/>
            <w:vAlign w:val="center"/>
          </w:tcPr>
          <w:p w:rsidR="008E6C43" w:rsidRPr="00147FF5"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1×</w:t>
            </w:r>
            <w:r w:rsidR="00F14E1E" w:rsidRPr="00147FF5">
              <w:rPr>
                <w:rFonts w:ascii="Palatino Linotype" w:eastAsiaTheme="majorEastAsia" w:hAnsi="Palatino Linotype" w:cs="Times New Roman"/>
                <w:bCs/>
                <w:noProof/>
                <w:sz w:val="20"/>
                <w:szCs w:val="20"/>
              </w:rPr>
              <w:t>(</w:t>
            </w:r>
            <w:r w:rsidR="001F1187" w:rsidRPr="00147FF5">
              <w:rPr>
                <w:rFonts w:ascii="Palatino Linotype" w:eastAsiaTheme="majorEastAsia" w:hAnsi="Palatino Linotype" w:cs="Times New Roman"/>
                <w:bCs/>
                <w:noProof/>
                <w:sz w:val="20"/>
                <w:szCs w:val="20"/>
              </w:rPr>
              <w:t>m+2n-24</w:t>
            </w:r>
            <w:r w:rsidR="00D505E9" w:rsidRPr="00147FF5">
              <w:rPr>
                <w:rFonts w:ascii="Palatino Linotype" w:eastAsiaTheme="majorEastAsia" w:hAnsi="Palatino Linotype" w:cs="Times New Roman"/>
                <w:bCs/>
                <w:noProof/>
                <w:sz w:val="20"/>
                <w:szCs w:val="20"/>
              </w:rPr>
              <w:t>)</w:t>
            </w:r>
          </w:p>
        </w:tc>
      </w:tr>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v</w:t>
            </w:r>
            <w:r w:rsidRPr="00A53157">
              <w:rPr>
                <w:rFonts w:ascii="Palatino Linotype" w:eastAsiaTheme="majorEastAsia" w:hAnsi="Palatino Linotype" w:cs="Times New Roman"/>
                <w:bCs/>
                <w:noProof/>
                <w:sz w:val="20"/>
                <w:szCs w:val="20"/>
                <w:vertAlign w:val="subscript"/>
              </w:rPr>
              <w:t>int</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Intracellular fluxes</w:t>
            </w:r>
          </w:p>
        </w:tc>
        <w:tc>
          <w:tcPr>
            <w:tcW w:w="0" w:type="auto"/>
            <w:vAlign w:val="center"/>
          </w:tcPr>
          <w:p w:rsidR="008E6C43" w:rsidRPr="00147FF5" w:rsidRDefault="001F1187"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m</w:t>
            </w:r>
            <w:r w:rsidR="008E6C43" w:rsidRPr="00147FF5">
              <w:rPr>
                <w:rFonts w:ascii="Palatino Linotype" w:eastAsiaTheme="majorEastAsia" w:hAnsi="Palatino Linotype" w:cs="Times New Roman"/>
                <w:bCs/>
                <w:noProof/>
                <w:sz w:val="20"/>
                <w:szCs w:val="20"/>
              </w:rPr>
              <w:t>×1</w:t>
            </w:r>
          </w:p>
        </w:tc>
      </w:tr>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v</w:t>
            </w:r>
            <w:r w:rsidRPr="00A53157">
              <w:rPr>
                <w:rFonts w:ascii="Palatino Linotype" w:eastAsiaTheme="majorEastAsia" w:hAnsi="Palatino Linotype" w:cs="Times New Roman"/>
                <w:bCs/>
                <w:noProof/>
                <w:sz w:val="20"/>
                <w:szCs w:val="20"/>
                <w:vertAlign w:val="subscript"/>
              </w:rPr>
              <w:t>ext</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Extracellular fluxes</w:t>
            </w:r>
          </w:p>
        </w:tc>
        <w:tc>
          <w:tcPr>
            <w:tcW w:w="0" w:type="auto"/>
            <w:vAlign w:val="center"/>
          </w:tcPr>
          <w:p w:rsidR="008E6C43" w:rsidRPr="00147FF5"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5×1</w:t>
            </w:r>
          </w:p>
        </w:tc>
      </w:tr>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v</w:t>
            </w:r>
            <w:r w:rsidRPr="00A53157">
              <w:rPr>
                <w:rFonts w:ascii="Palatino Linotype" w:eastAsiaTheme="majorEastAsia" w:hAnsi="Palatino Linotype" w:cs="Times New Roman"/>
                <w:bCs/>
                <w:noProof/>
                <w:sz w:val="20"/>
                <w:szCs w:val="20"/>
                <w:vertAlign w:val="subscript"/>
              </w:rPr>
              <w:t>j</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Intracellular fluxes with defined values of </w:t>
            </w:r>
          </w:p>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standard Gibbs free energy</w:t>
            </w:r>
          </w:p>
        </w:tc>
        <w:tc>
          <w:tcPr>
            <w:tcW w:w="0" w:type="auto"/>
            <w:vAlign w:val="center"/>
          </w:tcPr>
          <w:p w:rsidR="008E6C43" w:rsidRPr="00147FF5" w:rsidRDefault="001F1187"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(n-12)</w:t>
            </w:r>
            <w:r w:rsidR="008E6C43" w:rsidRPr="00147FF5">
              <w:rPr>
                <w:rFonts w:ascii="Palatino Linotype" w:eastAsiaTheme="majorEastAsia" w:hAnsi="Palatino Linotype" w:cs="Times New Roman"/>
                <w:bCs/>
                <w:noProof/>
                <w:sz w:val="20"/>
                <w:szCs w:val="20"/>
              </w:rPr>
              <w:t>×1</w:t>
            </w:r>
          </w:p>
        </w:tc>
      </w:tr>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noProof/>
                <w:sz w:val="20"/>
                <w:szCs w:val="20"/>
              </w:rPr>
            </w:pPr>
            <w:r w:rsidRPr="00A53157">
              <w:rPr>
                <w:rFonts w:ascii="Palatino Linotype" w:eastAsiaTheme="majorEastAsia" w:hAnsi="Palatino Linotype" w:cs="Times New Roman"/>
                <w:bCs/>
                <w:noProof/>
                <w:sz w:val="20"/>
                <w:szCs w:val="20"/>
              </w:rPr>
              <w:t>C</w:t>
            </w:r>
            <w:r w:rsidRPr="00A53157">
              <w:rPr>
                <w:rFonts w:ascii="Palatino Linotype" w:eastAsiaTheme="majorEastAsia" w:hAnsi="Palatino Linotype" w:cs="Times New Roman"/>
                <w:bCs/>
                <w:noProof/>
                <w:sz w:val="20"/>
                <w:szCs w:val="20"/>
                <w:vertAlign w:val="subscript"/>
              </w:rPr>
              <w:t>i</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Concentrations of intracellular metabolites</w:t>
            </w:r>
          </w:p>
        </w:tc>
        <w:tc>
          <w:tcPr>
            <w:tcW w:w="0" w:type="auto"/>
            <w:vAlign w:val="center"/>
          </w:tcPr>
          <w:p w:rsidR="008E6C43" w:rsidRPr="00147FF5" w:rsidRDefault="001F1187"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m</w:t>
            </w:r>
            <w:r w:rsidR="008E6C43" w:rsidRPr="00147FF5">
              <w:rPr>
                <w:rFonts w:ascii="Palatino Linotype" w:eastAsiaTheme="majorEastAsia" w:hAnsi="Palatino Linotype" w:cs="Times New Roman"/>
                <w:bCs/>
                <w:noProof/>
                <w:sz w:val="20"/>
                <w:szCs w:val="20"/>
              </w:rPr>
              <w:t>×1</w:t>
            </w:r>
          </w:p>
        </w:tc>
      </w:tr>
      <w:tr w:rsidR="008E6C43" w:rsidRPr="00A53157" w:rsidTr="00E10730">
        <w:trPr>
          <w:jc w:val="center"/>
        </w:trPr>
        <w:tc>
          <w:tcPr>
            <w:tcW w:w="0" w:type="auto"/>
            <w:vAlign w:val="center"/>
          </w:tcPr>
          <w:p w:rsidR="008E6C43" w:rsidRPr="00A53157" w:rsidRDefault="00E254BE"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m:oMathPara>
              <m:oMath>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m:t>
                    </m:r>
                  </m:e>
                  <m:sub>
                    <m:r>
                      <w:rPr>
                        <w:rFonts w:ascii="Cambria Math" w:eastAsiaTheme="majorEastAsia" w:hAnsi="Cambria Math" w:cs="Times New Roman"/>
                        <w:noProof/>
                        <w:sz w:val="20"/>
                        <w:szCs w:val="20"/>
                      </w:rPr>
                      <m:t>f</m:t>
                    </m:r>
                  </m:sub>
                </m:sSub>
                <m:sSubSup>
                  <m:sSubSupPr>
                    <m:ctrlPr>
                      <w:rPr>
                        <w:rFonts w:ascii="Cambria Math" w:eastAsiaTheme="majorEastAsia" w:hAnsi="Cambria Math" w:cs="Times New Roman"/>
                        <w:bCs/>
                        <w:noProof/>
                        <w:sz w:val="20"/>
                        <w:szCs w:val="20"/>
                      </w:rPr>
                    </m:ctrlPr>
                  </m:sSubSupPr>
                  <m:e>
                    <m:r>
                      <w:rPr>
                        <w:rFonts w:ascii="Cambria Math" w:eastAsiaTheme="majorEastAsia" w:hAnsi="Cambria Math" w:cs="Times New Roman"/>
                        <w:noProof/>
                        <w:sz w:val="20"/>
                        <w:szCs w:val="20"/>
                      </w:rPr>
                      <m:t>G</m:t>
                    </m:r>
                  </m:e>
                  <m:sub>
                    <m:r>
                      <w:rPr>
                        <w:rFonts w:ascii="Cambria Math" w:eastAsiaTheme="majorEastAsia" w:hAnsi="Cambria Math" w:cs="Times New Roman"/>
                        <w:noProof/>
                        <w:sz w:val="20"/>
                        <w:szCs w:val="20"/>
                      </w:rPr>
                      <m:t>i</m:t>
                    </m:r>
                  </m:sub>
                  <m:sup>
                    <m:r>
                      <w:rPr>
                        <w:rFonts w:ascii="Cambria Math" w:eastAsiaTheme="majorEastAsia" w:hAnsi="Cambria Math" w:cs="Times New Roman"/>
                        <w:noProof/>
                        <w:sz w:val="20"/>
                        <w:szCs w:val="20"/>
                      </w:rPr>
                      <m:t>0</m:t>
                    </m:r>
                  </m:sup>
                </m:sSubSup>
              </m:oMath>
            </m:oMathPara>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Standard Gibbs free energy of formation</w:t>
            </w:r>
          </w:p>
        </w:tc>
        <w:tc>
          <w:tcPr>
            <w:tcW w:w="0" w:type="auto"/>
            <w:vAlign w:val="center"/>
          </w:tcPr>
          <w:p w:rsidR="008E6C43" w:rsidRPr="00147FF5" w:rsidRDefault="001F1187"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(n-12)</w:t>
            </w:r>
            <w:bookmarkStart w:id="43" w:name="OLE_LINK286"/>
            <w:bookmarkStart w:id="44" w:name="OLE_LINK287"/>
            <w:r w:rsidR="008E6C43" w:rsidRPr="00147FF5">
              <w:rPr>
                <w:rFonts w:ascii="Palatino Linotype" w:eastAsiaTheme="majorEastAsia" w:hAnsi="Palatino Linotype" w:cs="Times New Roman"/>
                <w:bCs/>
                <w:noProof/>
                <w:sz w:val="20"/>
                <w:szCs w:val="20"/>
              </w:rPr>
              <w:t>×</w:t>
            </w:r>
            <w:bookmarkEnd w:id="43"/>
            <w:bookmarkEnd w:id="44"/>
            <w:r w:rsidR="008E6C43" w:rsidRPr="00147FF5">
              <w:rPr>
                <w:rFonts w:ascii="Palatino Linotype" w:eastAsiaTheme="majorEastAsia" w:hAnsi="Palatino Linotype" w:cs="Times New Roman"/>
                <w:bCs/>
                <w:noProof/>
                <w:sz w:val="20"/>
                <w:szCs w:val="20"/>
              </w:rPr>
              <w:t>1</w:t>
            </w:r>
          </w:p>
        </w:tc>
      </w:tr>
      <w:tr w:rsidR="008E6C43" w:rsidRPr="00A53157" w:rsidTr="00E10730">
        <w:trPr>
          <w:jc w:val="center"/>
        </w:trPr>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E</w:t>
            </w:r>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Uncertainties in Standard Gibbs free energy of formation</w:t>
            </w:r>
          </w:p>
        </w:tc>
        <w:tc>
          <w:tcPr>
            <w:tcW w:w="0" w:type="auto"/>
            <w:vAlign w:val="center"/>
          </w:tcPr>
          <w:p w:rsidR="008E6C43" w:rsidRPr="00147FF5" w:rsidRDefault="001F1187"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(n-12)</w:t>
            </w:r>
            <w:r w:rsidR="008E6C43" w:rsidRPr="00147FF5">
              <w:rPr>
                <w:rFonts w:ascii="Palatino Linotype" w:eastAsiaTheme="majorEastAsia" w:hAnsi="Palatino Linotype" w:cs="Times New Roman"/>
                <w:bCs/>
                <w:noProof/>
                <w:sz w:val="20"/>
                <w:szCs w:val="20"/>
              </w:rPr>
              <w:t>×1</w:t>
            </w:r>
          </w:p>
        </w:tc>
      </w:tr>
      <w:tr w:rsidR="008E6C43" w:rsidRPr="00A53157" w:rsidTr="00E10730">
        <w:trPr>
          <w:jc w:val="center"/>
        </w:trPr>
        <w:tc>
          <w:tcPr>
            <w:tcW w:w="0" w:type="auto"/>
            <w:vAlign w:val="center"/>
          </w:tcPr>
          <w:p w:rsidR="008E6C43" w:rsidRPr="00A53157" w:rsidRDefault="00E254BE"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m:oMathPara>
              <m:oMath>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m:t>
                    </m:r>
                  </m:e>
                  <m:sub>
                    <m:r>
                      <w:rPr>
                        <w:rFonts w:ascii="Cambria Math" w:eastAsiaTheme="majorEastAsia" w:hAnsi="Cambria Math" w:cs="Times New Roman"/>
                        <w:noProof/>
                        <w:sz w:val="20"/>
                        <w:szCs w:val="20"/>
                      </w:rPr>
                      <m:t>r</m:t>
                    </m:r>
                  </m:sub>
                </m:sSub>
                <m:sSub>
                  <m:sSubPr>
                    <m:ctrlPr>
                      <w:rPr>
                        <w:rFonts w:ascii="Cambria Math" w:eastAsiaTheme="majorEastAsia" w:hAnsi="Cambria Math" w:cs="Times New Roman"/>
                        <w:bCs/>
                        <w:noProof/>
                        <w:sz w:val="20"/>
                        <w:szCs w:val="20"/>
                      </w:rPr>
                    </m:ctrlPr>
                  </m:sSubPr>
                  <m:e>
                    <m:r>
                      <w:rPr>
                        <w:rFonts w:ascii="Cambria Math" w:eastAsiaTheme="majorEastAsia" w:hAnsi="Cambria Math" w:cs="Times New Roman"/>
                        <w:noProof/>
                        <w:sz w:val="20"/>
                        <w:szCs w:val="20"/>
                      </w:rPr>
                      <m:t>G</m:t>
                    </m:r>
                  </m:e>
                  <m:sub>
                    <m:r>
                      <w:rPr>
                        <w:rFonts w:ascii="Cambria Math" w:eastAsiaTheme="majorEastAsia" w:hAnsi="Cambria Math" w:cs="Times New Roman"/>
                        <w:noProof/>
                        <w:sz w:val="20"/>
                        <w:szCs w:val="20"/>
                      </w:rPr>
                      <m:t>j</m:t>
                    </m:r>
                  </m:sub>
                </m:sSub>
              </m:oMath>
            </m:oMathPara>
          </w:p>
        </w:tc>
        <w:tc>
          <w:tcPr>
            <w:tcW w:w="0" w:type="auto"/>
            <w:vAlign w:val="center"/>
          </w:tcPr>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Gibbs free energy of reaction</w:t>
            </w:r>
          </w:p>
        </w:tc>
        <w:tc>
          <w:tcPr>
            <w:tcW w:w="0" w:type="auto"/>
            <w:vAlign w:val="center"/>
          </w:tcPr>
          <w:p w:rsidR="008E6C43" w:rsidRPr="00147FF5" w:rsidRDefault="001F1187" w:rsidP="00A53157">
            <w:pPr>
              <w:keepNext/>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147FF5">
              <w:rPr>
                <w:rFonts w:ascii="Palatino Linotype" w:eastAsiaTheme="majorEastAsia" w:hAnsi="Palatino Linotype" w:cs="Times New Roman"/>
                <w:bCs/>
                <w:noProof/>
                <w:sz w:val="20"/>
                <w:szCs w:val="20"/>
              </w:rPr>
              <w:t>(n-12)</w:t>
            </w:r>
            <w:r w:rsidR="008E6C43" w:rsidRPr="00147FF5">
              <w:rPr>
                <w:rFonts w:ascii="Palatino Linotype" w:eastAsiaTheme="majorEastAsia" w:hAnsi="Palatino Linotype" w:cs="Times New Roman"/>
                <w:bCs/>
                <w:noProof/>
                <w:sz w:val="20"/>
                <w:szCs w:val="20"/>
              </w:rPr>
              <w:t>×1</w:t>
            </w:r>
          </w:p>
        </w:tc>
      </w:tr>
    </w:tbl>
    <w:p w:rsidR="008E6C43" w:rsidRPr="00A53157" w:rsidRDefault="008E6C43" w:rsidP="00A53157">
      <w:pPr>
        <w:pStyle w:val="af0"/>
        <w:spacing w:after="120" w:line="240" w:lineRule="atLeast"/>
        <w:jc w:val="center"/>
        <w:rPr>
          <w:rFonts w:ascii="Palatino Linotype" w:eastAsiaTheme="majorEastAsia" w:hAnsi="Palatino Linotype" w:cs="Times New Roman"/>
          <w:b w:val="0"/>
          <w:bCs w:val="0"/>
          <w:i/>
          <w:noProof/>
          <w:sz w:val="20"/>
          <w:szCs w:val="20"/>
        </w:rPr>
      </w:pPr>
      <w:bookmarkStart w:id="45" w:name="_Toc500722276"/>
      <w:bookmarkStart w:id="46" w:name="OLE_LINK282"/>
      <w:bookmarkStart w:id="47" w:name="OLE_LINK357"/>
      <w:r w:rsidRPr="00A53157">
        <w:rPr>
          <w:rFonts w:ascii="Palatino Linotype" w:hAnsi="Palatino Linotype" w:cs="Times New Roman"/>
          <w:b w:val="0"/>
          <w:color w:val="auto"/>
          <w:sz w:val="20"/>
          <w:szCs w:val="20"/>
        </w:rPr>
        <w:t xml:space="preserve">Table </w:t>
      </w:r>
      <w:r w:rsidRPr="00A53157">
        <w:rPr>
          <w:rFonts w:ascii="Palatino Linotype" w:hAnsi="Palatino Linotype" w:cs="Times New Roman"/>
          <w:b w:val="0"/>
          <w:i/>
          <w:color w:val="auto"/>
          <w:sz w:val="20"/>
          <w:szCs w:val="20"/>
        </w:rPr>
        <w:fldChar w:fldCharType="begin"/>
      </w:r>
      <w:r w:rsidRPr="00A53157">
        <w:rPr>
          <w:rFonts w:ascii="Palatino Linotype" w:hAnsi="Palatino Linotype" w:cs="Times New Roman"/>
          <w:b w:val="0"/>
          <w:color w:val="auto"/>
          <w:sz w:val="20"/>
          <w:szCs w:val="20"/>
        </w:rPr>
        <w:instrText xml:space="preserve"> STYLEREF 1 \s </w:instrText>
      </w:r>
      <w:r w:rsidRPr="00A53157">
        <w:rPr>
          <w:rFonts w:ascii="Palatino Linotype" w:hAnsi="Palatino Linotype" w:cs="Times New Roman"/>
          <w:b w:val="0"/>
          <w:i/>
          <w:color w:val="auto"/>
          <w:sz w:val="20"/>
          <w:szCs w:val="20"/>
        </w:rPr>
        <w:fldChar w:fldCharType="separate"/>
      </w:r>
      <w:r w:rsidR="00B421E0" w:rsidRPr="00A53157">
        <w:rPr>
          <w:rFonts w:ascii="Palatino Linotype" w:hAnsi="Palatino Linotype" w:cs="Times New Roman"/>
          <w:b w:val="0"/>
          <w:noProof/>
          <w:color w:val="auto"/>
          <w:sz w:val="20"/>
          <w:szCs w:val="20"/>
        </w:rPr>
        <w:t>2</w:t>
      </w:r>
      <w:r w:rsidRPr="00A53157">
        <w:rPr>
          <w:rFonts w:ascii="Palatino Linotype" w:hAnsi="Palatino Linotype" w:cs="Times New Roman"/>
          <w:b w:val="0"/>
          <w:i/>
          <w:color w:val="auto"/>
          <w:sz w:val="20"/>
          <w:szCs w:val="20"/>
        </w:rPr>
        <w:fldChar w:fldCharType="end"/>
      </w:r>
      <w:r w:rsidRPr="00A53157">
        <w:rPr>
          <w:rFonts w:ascii="Palatino Linotype" w:hAnsi="Palatino Linotype" w:cs="Times New Roman"/>
          <w:b w:val="0"/>
          <w:color w:val="auto"/>
          <w:sz w:val="20"/>
          <w:szCs w:val="20"/>
        </w:rPr>
        <w:t xml:space="preserve"> – Nomenclatures of TBFE</w:t>
      </w:r>
      <w:bookmarkEnd w:id="45"/>
      <w:r w:rsidR="007E1A44" w:rsidRPr="00A53157">
        <w:rPr>
          <w:rFonts w:ascii="Palatino Linotype" w:hAnsi="Palatino Linotype" w:cs="Times New Roman"/>
          <w:b w:val="0"/>
          <w:color w:val="auto"/>
          <w:sz w:val="20"/>
          <w:szCs w:val="20"/>
        </w:rPr>
        <w:t xml:space="preserve">. </w:t>
      </w:r>
      <w:r w:rsidR="007E1A44" w:rsidRPr="00A53157">
        <w:rPr>
          <w:rFonts w:ascii="Palatino Linotype" w:hAnsi="Palatino Linotype" w:cs="Times New Roman"/>
          <w:i/>
          <w:color w:val="auto"/>
          <w:sz w:val="20"/>
          <w:szCs w:val="20"/>
        </w:rPr>
        <w:t>n</w:t>
      </w:r>
      <w:r w:rsidR="007E1A44" w:rsidRPr="00A53157">
        <w:rPr>
          <w:rFonts w:ascii="Palatino Linotype" w:hAnsi="Palatino Linotype" w:cs="Times New Roman"/>
          <w:b w:val="0"/>
          <w:color w:val="auto"/>
          <w:sz w:val="20"/>
          <w:szCs w:val="20"/>
        </w:rPr>
        <w:t xml:space="preserve"> is the total number of reactions. </w:t>
      </w:r>
      <w:r w:rsidR="007E1A44" w:rsidRPr="00A53157">
        <w:rPr>
          <w:rFonts w:ascii="Palatino Linotype" w:hAnsi="Palatino Linotype" w:cs="Times New Roman"/>
          <w:i/>
          <w:color w:val="auto"/>
          <w:sz w:val="20"/>
          <w:szCs w:val="20"/>
        </w:rPr>
        <w:t>n-12</w:t>
      </w:r>
      <w:r w:rsidR="007E1A44" w:rsidRPr="00A53157">
        <w:rPr>
          <w:rFonts w:ascii="Palatino Linotype" w:hAnsi="Palatino Linotype" w:cs="Times New Roman"/>
          <w:b w:val="0"/>
          <w:color w:val="auto"/>
          <w:sz w:val="20"/>
          <w:szCs w:val="20"/>
        </w:rPr>
        <w:t xml:space="preserve"> is the number of reactions with known Gibbs free energy</w:t>
      </w:r>
    </w:p>
    <w:bookmarkEnd w:id="46"/>
    <w:bookmarkEnd w:id="47"/>
    <w:p w:rsidR="008E6C43" w:rsidRPr="00A53157" w:rsidRDefault="008E6C43" w:rsidP="00A53157">
      <w:pPr>
        <w:tabs>
          <w:tab w:val="left" w:pos="2100"/>
        </w:tabs>
        <w:snapToGrid w:val="0"/>
        <w:spacing w:after="120" w:line="240" w:lineRule="atLeast"/>
        <w:jc w:val="both"/>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noProof/>
          <w:sz w:val="20"/>
          <w:szCs w:val="20"/>
        </w:rPr>
        <w:t xml:space="preserve">Each optimisation was performed using ‘fmincon’ (non-linear programming solver) in Matlab. Sequential quadratic programming is used for the optimisation as it is a relatively robust algorithm and offers a higher chance to converge to a feasible solution than other algorithms. </w:t>
      </w:r>
    </w:p>
    <w:p w:rsidR="008E6C43" w:rsidRPr="00A53157" w:rsidRDefault="008E6C43" w:rsidP="00A53157">
      <w:pPr>
        <w:tabs>
          <w:tab w:val="left" w:pos="2100"/>
        </w:tabs>
        <w:snapToGrid w:val="0"/>
        <w:spacing w:after="0" w:line="240" w:lineRule="atLeast"/>
        <w:jc w:val="center"/>
        <w:rPr>
          <w:rFonts w:ascii="Palatino Linotype" w:eastAsiaTheme="majorEastAsia" w:hAnsi="Palatino Linotype" w:cs="Times New Roman"/>
          <w:bCs/>
          <w:i/>
          <w:noProof/>
          <w:sz w:val="20"/>
          <w:szCs w:val="20"/>
        </w:rPr>
      </w:pPr>
      <w:r w:rsidRPr="00A53157">
        <w:rPr>
          <w:rFonts w:ascii="Palatino Linotype" w:eastAsiaTheme="majorEastAsia" w:hAnsi="Palatino Linotype" w:cs="Times New Roman"/>
          <w:bCs/>
          <w:i/>
          <w:noProof/>
          <w:sz w:val="20"/>
          <w:szCs w:val="20"/>
        </w:rPr>
        <w:lastRenderedPageBreak/>
        <w:drawing>
          <wp:inline distT="0" distB="0" distL="0" distR="0" wp14:anchorId="546AF86F" wp14:editId="26C99B82">
            <wp:extent cx="5638800" cy="2933700"/>
            <wp:effectExtent l="19050" t="19050" r="19050" b="19050"/>
            <wp:docPr id="305" name="图片 305" descr="C:\Users\hp\Desktop\360截图20171210130046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360截图2017121013004601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8800" cy="2933700"/>
                    </a:xfrm>
                    <a:prstGeom prst="rect">
                      <a:avLst/>
                    </a:prstGeom>
                    <a:noFill/>
                    <a:ln>
                      <a:solidFill>
                        <a:srgbClr val="002060"/>
                      </a:solidFill>
                    </a:ln>
                  </pic:spPr>
                </pic:pic>
              </a:graphicData>
            </a:graphic>
          </wp:inline>
        </w:drawing>
      </w:r>
      <w:r w:rsidRPr="00A53157">
        <w:rPr>
          <w:rFonts w:ascii="Palatino Linotype" w:eastAsiaTheme="majorEastAsia" w:hAnsi="Palatino Linotype" w:cs="Times New Roman"/>
          <w:bCs/>
          <w:i/>
          <w:noProof/>
          <w:sz w:val="20"/>
          <w:szCs w:val="20"/>
        </w:rPr>
        <w:drawing>
          <wp:inline distT="0" distB="0" distL="0" distR="0" wp14:anchorId="1F5F9442" wp14:editId="30C76D23">
            <wp:extent cx="5638800" cy="2933700"/>
            <wp:effectExtent l="19050" t="19050" r="19050" b="19050"/>
            <wp:docPr id="29" name="图片 29" descr="C:\Users\hp\Desktop\360截图201712101437380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360截图2017121014373804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8800" cy="2933700"/>
                    </a:xfrm>
                    <a:prstGeom prst="rect">
                      <a:avLst/>
                    </a:prstGeom>
                    <a:noFill/>
                    <a:ln>
                      <a:solidFill>
                        <a:srgbClr val="002060"/>
                      </a:solidFill>
                    </a:ln>
                  </pic:spPr>
                </pic:pic>
              </a:graphicData>
            </a:graphic>
          </wp:inline>
        </w:drawing>
      </w:r>
    </w:p>
    <w:p w:rsidR="008E6C43" w:rsidRPr="00147FF5" w:rsidRDefault="008E6C43" w:rsidP="00A53157">
      <w:pPr>
        <w:pStyle w:val="af0"/>
        <w:spacing w:after="120" w:line="240" w:lineRule="atLeast"/>
        <w:jc w:val="center"/>
        <w:rPr>
          <w:rFonts w:ascii="Palatino Linotype" w:hAnsi="Palatino Linotype" w:cs="Times New Roman"/>
          <w:b w:val="0"/>
          <w:i/>
          <w:color w:val="auto"/>
          <w:sz w:val="20"/>
          <w:szCs w:val="20"/>
        </w:rPr>
      </w:pPr>
      <w:bookmarkStart w:id="48" w:name="_Toc500722214"/>
      <w:r w:rsidRPr="00A53157">
        <w:rPr>
          <w:rFonts w:ascii="Palatino Linotype" w:hAnsi="Palatino Linotype" w:cs="Times New Roman"/>
          <w:b w:val="0"/>
          <w:color w:val="auto"/>
          <w:sz w:val="20"/>
          <w:szCs w:val="20"/>
        </w:rPr>
        <w:t xml:space="preserve">Figure </w:t>
      </w:r>
      <w:r w:rsidRPr="00A53157">
        <w:rPr>
          <w:rFonts w:ascii="Palatino Linotype" w:hAnsi="Palatino Linotype" w:cs="Times New Roman"/>
          <w:b w:val="0"/>
          <w:i/>
          <w:color w:val="auto"/>
          <w:sz w:val="20"/>
          <w:szCs w:val="20"/>
        </w:rPr>
        <w:fldChar w:fldCharType="begin"/>
      </w:r>
      <w:r w:rsidRPr="00A53157">
        <w:rPr>
          <w:rFonts w:ascii="Palatino Linotype" w:hAnsi="Palatino Linotype" w:cs="Times New Roman"/>
          <w:b w:val="0"/>
          <w:color w:val="auto"/>
          <w:sz w:val="20"/>
          <w:szCs w:val="20"/>
        </w:rPr>
        <w:instrText xml:space="preserve"> SEQ Figure \* ARABIC \s 1 </w:instrText>
      </w:r>
      <w:r w:rsidRPr="00A53157">
        <w:rPr>
          <w:rFonts w:ascii="Palatino Linotype" w:hAnsi="Palatino Linotype" w:cs="Times New Roman"/>
          <w:b w:val="0"/>
          <w:i/>
          <w:color w:val="auto"/>
          <w:sz w:val="20"/>
          <w:szCs w:val="20"/>
        </w:rPr>
        <w:fldChar w:fldCharType="separate"/>
      </w:r>
      <w:r w:rsidR="00A05619" w:rsidRPr="00A53157">
        <w:rPr>
          <w:rFonts w:ascii="Palatino Linotype" w:hAnsi="Palatino Linotype" w:cs="Times New Roman"/>
          <w:b w:val="0"/>
          <w:noProof/>
          <w:color w:val="auto"/>
          <w:sz w:val="20"/>
          <w:szCs w:val="20"/>
        </w:rPr>
        <w:t>1</w:t>
      </w:r>
      <w:r w:rsidRPr="00A53157">
        <w:rPr>
          <w:rFonts w:ascii="Palatino Linotype" w:hAnsi="Palatino Linotype" w:cs="Times New Roman"/>
          <w:b w:val="0"/>
          <w:i/>
          <w:color w:val="auto"/>
          <w:sz w:val="20"/>
          <w:szCs w:val="20"/>
        </w:rPr>
        <w:fldChar w:fldCharType="end"/>
      </w:r>
      <w:r w:rsidRPr="00A53157">
        <w:rPr>
          <w:rFonts w:ascii="Palatino Linotype" w:hAnsi="Palatino Linotype" w:cs="Times New Roman"/>
          <w:b w:val="0"/>
          <w:color w:val="auto"/>
          <w:sz w:val="20"/>
          <w:szCs w:val="20"/>
        </w:rPr>
        <w:t xml:space="preserve"> – The total run times (underlined in red, the 3</w:t>
      </w:r>
      <w:r w:rsidRPr="00A53157">
        <w:rPr>
          <w:rFonts w:ascii="Palatino Linotype" w:hAnsi="Palatino Linotype" w:cs="Times New Roman"/>
          <w:b w:val="0"/>
          <w:color w:val="auto"/>
          <w:sz w:val="20"/>
          <w:szCs w:val="20"/>
          <w:vertAlign w:val="superscript"/>
        </w:rPr>
        <w:t>rd</w:t>
      </w:r>
      <w:r w:rsidRPr="00A53157">
        <w:rPr>
          <w:rFonts w:ascii="Palatino Linotype" w:hAnsi="Palatino Linotype" w:cs="Times New Roman"/>
          <w:b w:val="0"/>
          <w:color w:val="auto"/>
          <w:sz w:val="20"/>
          <w:szCs w:val="20"/>
        </w:rPr>
        <w:t xml:space="preserve"> column) for TBFE (top) and FBA (bottom) to predict one set of flux distribution using the sa</w:t>
      </w:r>
      <w:r w:rsidRPr="00147FF5">
        <w:rPr>
          <w:rFonts w:ascii="Palatino Linotype" w:hAnsi="Palatino Linotype" w:cs="Times New Roman"/>
          <w:b w:val="0"/>
          <w:color w:val="auto"/>
          <w:sz w:val="20"/>
          <w:szCs w:val="20"/>
        </w:rPr>
        <w:t>me set of measured fluxes.</w:t>
      </w:r>
      <w:bookmarkEnd w:id="48"/>
    </w:p>
    <w:p w:rsidR="008E6C43" w:rsidRPr="00A53157" w:rsidRDefault="00DA381C" w:rsidP="00A53157">
      <w:pPr>
        <w:tabs>
          <w:tab w:val="left" w:pos="2100"/>
        </w:tabs>
        <w:snapToGrid w:val="0"/>
        <w:spacing w:after="120" w:line="240" w:lineRule="atLeast"/>
        <w:jc w:val="both"/>
        <w:rPr>
          <w:rFonts w:ascii="Palatino Linotype" w:hAnsi="Palatino Linotype" w:cs="Times New Roman"/>
          <w:i/>
          <w:noProof/>
          <w:sz w:val="20"/>
          <w:szCs w:val="20"/>
        </w:rPr>
      </w:pPr>
      <w:r w:rsidRPr="00147FF5">
        <w:rPr>
          <w:rFonts w:ascii="Palatino Linotype" w:eastAsiaTheme="majorEastAsia" w:hAnsi="Palatino Linotype" w:cs="Times New Roman"/>
          <w:bCs/>
          <w:noProof/>
          <w:sz w:val="20"/>
          <w:szCs w:val="20"/>
        </w:rPr>
        <w:t>It should be noted that t</w:t>
      </w:r>
      <w:r w:rsidR="008E6C43" w:rsidRPr="00147FF5">
        <w:rPr>
          <w:rFonts w:ascii="Palatino Linotype" w:eastAsiaTheme="majorEastAsia" w:hAnsi="Palatino Linotype" w:cs="Times New Roman"/>
          <w:bCs/>
          <w:noProof/>
          <w:sz w:val="20"/>
          <w:szCs w:val="20"/>
        </w:rPr>
        <w:t>he inherent nonlinearity of thermodynamic constraints renders this approach nearly 1600 times more computationally expensive than without them (Figure 1). Therefore,</w:t>
      </w:r>
      <w:r w:rsidR="008E6C43" w:rsidRPr="00A53157">
        <w:rPr>
          <w:rFonts w:ascii="Palatino Linotype" w:eastAsiaTheme="majorEastAsia" w:hAnsi="Palatino Linotype" w:cs="Times New Roman"/>
          <w:bCs/>
          <w:noProof/>
          <w:sz w:val="20"/>
          <w:szCs w:val="20"/>
        </w:rPr>
        <w:t xml:space="preserve"> it is </w:t>
      </w:r>
      <w:r w:rsidR="008E6C43" w:rsidRPr="00A53157">
        <w:rPr>
          <w:rFonts w:ascii="Palatino Linotype" w:eastAsiaTheme="majorEastAsia" w:hAnsi="Palatino Linotype" w:cs="Times New Roman"/>
          <w:b/>
          <w:bCs/>
          <w:noProof/>
          <w:sz w:val="20"/>
          <w:szCs w:val="20"/>
        </w:rPr>
        <w:t>unrealistic</w:t>
      </w:r>
      <w:r w:rsidR="008E6C43" w:rsidRPr="00A53157">
        <w:rPr>
          <w:rFonts w:ascii="Palatino Linotype" w:eastAsiaTheme="majorEastAsia" w:hAnsi="Palatino Linotype" w:cs="Times New Roman"/>
          <w:bCs/>
          <w:noProof/>
          <w:sz w:val="20"/>
          <w:szCs w:val="20"/>
        </w:rPr>
        <w:t xml:space="preserve"> to use TBFE to generate time-series flux distributions. </w:t>
      </w:r>
    </w:p>
    <w:p w:rsidR="00C216D6" w:rsidRPr="00A53157" w:rsidRDefault="00C216D6" w:rsidP="00A53157">
      <w:pPr>
        <w:spacing w:line="240" w:lineRule="atLeast"/>
        <w:rPr>
          <w:rFonts w:ascii="Palatino Linotype" w:eastAsiaTheme="majorEastAsia" w:hAnsi="Palatino Linotype" w:cs="Times New Roman"/>
          <w:b/>
          <w:bCs/>
          <w:sz w:val="20"/>
          <w:szCs w:val="20"/>
        </w:rPr>
      </w:pPr>
      <w:bookmarkStart w:id="49" w:name="_Toc500722133"/>
      <w:r w:rsidRPr="00A53157">
        <w:rPr>
          <w:rFonts w:ascii="Palatino Linotype" w:hAnsi="Palatino Linotype" w:cs="Times New Roman"/>
          <w:sz w:val="20"/>
          <w:szCs w:val="20"/>
        </w:rPr>
        <w:br w:type="page"/>
      </w:r>
    </w:p>
    <w:p w:rsidR="008E6C43" w:rsidRPr="00A53157" w:rsidRDefault="008E6C43" w:rsidP="00A53157">
      <w:pPr>
        <w:pStyle w:val="1"/>
        <w:numPr>
          <w:ilvl w:val="0"/>
          <w:numId w:val="32"/>
        </w:numPr>
        <w:spacing w:before="0" w:after="120" w:line="240" w:lineRule="atLeast"/>
        <w:ind w:firstLine="0"/>
        <w:rPr>
          <w:rFonts w:ascii="Palatino Linotype" w:hAnsi="Palatino Linotype" w:cs="Times New Roman"/>
          <w:color w:val="auto"/>
          <w:sz w:val="20"/>
          <w:szCs w:val="20"/>
        </w:rPr>
      </w:pPr>
      <w:bookmarkStart w:id="50" w:name="_Toc38967807"/>
      <w:bookmarkStart w:id="51" w:name="_Toc38967895"/>
      <w:r w:rsidRPr="00A53157">
        <w:rPr>
          <w:rFonts w:ascii="Palatino Linotype" w:hAnsi="Palatino Linotype" w:cs="Times New Roman"/>
          <w:color w:val="auto"/>
          <w:sz w:val="20"/>
          <w:szCs w:val="20"/>
        </w:rPr>
        <w:lastRenderedPageBreak/>
        <w:t>Objective functions</w:t>
      </w:r>
      <w:bookmarkEnd w:id="49"/>
      <w:r w:rsidRPr="00A53157">
        <w:rPr>
          <w:rFonts w:ascii="Palatino Linotype" w:hAnsi="Palatino Linotype" w:cs="Times New Roman"/>
          <w:sz w:val="20"/>
          <w:szCs w:val="20"/>
        </w:rPr>
        <w:t>:</w:t>
      </w:r>
      <w:bookmarkEnd w:id="50"/>
      <w:bookmarkEnd w:id="51"/>
      <w:r w:rsidRPr="00A53157">
        <w:rPr>
          <w:rFonts w:ascii="Palatino Linotype" w:hAnsi="Palatino Linotype" w:cs="Times New Roman"/>
          <w:sz w:val="20"/>
          <w:szCs w:val="20"/>
        </w:rPr>
        <w:t xml:space="preserve"> </w:t>
      </w:r>
    </w:p>
    <w:tbl>
      <w:tblPr>
        <w:tblStyle w:val="af3"/>
        <w:tblW w:w="0" w:type="auto"/>
        <w:tblLook w:val="04A0" w:firstRow="1" w:lastRow="0" w:firstColumn="1" w:lastColumn="0" w:noHBand="0" w:noVBand="1"/>
      </w:tblPr>
      <w:tblGrid>
        <w:gridCol w:w="316"/>
        <w:gridCol w:w="6450"/>
        <w:gridCol w:w="3196"/>
      </w:tblGrid>
      <w:tr w:rsidR="008E6C43" w:rsidRPr="00A53157" w:rsidTr="00E10730">
        <w:tc>
          <w:tcPr>
            <w:tcW w:w="6771" w:type="dxa"/>
            <w:gridSpan w:val="2"/>
            <w:shd w:val="clear" w:color="auto" w:fill="0D0D0D" w:themeFill="text1" w:themeFillTint="F2"/>
            <w:vAlign w:val="center"/>
          </w:tcPr>
          <w:p w:rsidR="008E6C43" w:rsidRPr="00A53157" w:rsidRDefault="008E6C43" w:rsidP="00A53157">
            <w:pPr>
              <w:spacing w:after="0" w:line="240" w:lineRule="atLeast"/>
              <w:jc w:val="center"/>
              <w:rPr>
                <w:rFonts w:ascii="Palatino Linotype" w:hAnsi="Palatino Linotype" w:cs="Times New Roman"/>
                <w:i/>
                <w:color w:val="FFFFFF" w:themeColor="background1"/>
                <w:sz w:val="20"/>
                <w:szCs w:val="20"/>
              </w:rPr>
            </w:pPr>
            <w:r w:rsidRPr="00A53157">
              <w:rPr>
                <w:rFonts w:ascii="Palatino Linotype" w:hAnsi="Palatino Linotype" w:cs="Times New Roman"/>
                <w:color w:val="FFFFFF" w:themeColor="background1"/>
                <w:sz w:val="20"/>
                <w:szCs w:val="20"/>
              </w:rPr>
              <w:t>Objective function</w:t>
            </w:r>
          </w:p>
        </w:tc>
        <w:tc>
          <w:tcPr>
            <w:tcW w:w="3197" w:type="dxa"/>
            <w:shd w:val="clear" w:color="auto" w:fill="0D0D0D" w:themeFill="text1" w:themeFillTint="F2"/>
            <w:vAlign w:val="center"/>
          </w:tcPr>
          <w:p w:rsidR="008E6C43" w:rsidRPr="00A53157" w:rsidRDefault="008E6C43" w:rsidP="00A53157">
            <w:pPr>
              <w:spacing w:after="0" w:line="240" w:lineRule="atLeast"/>
              <w:jc w:val="center"/>
              <w:rPr>
                <w:rFonts w:ascii="Palatino Linotype" w:hAnsi="Palatino Linotype" w:cs="Times New Roman"/>
                <w:i/>
                <w:color w:val="FFFFFF" w:themeColor="background1"/>
                <w:sz w:val="20"/>
                <w:szCs w:val="20"/>
              </w:rPr>
            </w:pPr>
            <w:r w:rsidRPr="00A53157">
              <w:rPr>
                <w:rFonts w:ascii="Palatino Linotype" w:hAnsi="Palatino Linotype" w:cs="Times New Roman"/>
                <w:color w:val="FFFFFF" w:themeColor="background1"/>
                <w:sz w:val="20"/>
                <w:szCs w:val="20"/>
              </w:rPr>
              <w:t>Reference</w:t>
            </w:r>
          </w:p>
        </w:tc>
      </w:tr>
      <w:tr w:rsidR="008E6C43" w:rsidRPr="00A53157" w:rsidTr="00E10730">
        <w:tc>
          <w:tcPr>
            <w:tcW w:w="0" w:type="auto"/>
            <w:tcBorders>
              <w:bottom w:val="single" w:sz="4" w:space="0" w:color="auto"/>
            </w:tcBorders>
          </w:tcPr>
          <w:p w:rsidR="008E6C43" w:rsidRPr="00A53157" w:rsidRDefault="008E6C43" w:rsidP="00A53157">
            <w:pPr>
              <w:spacing w:after="0" w:line="240" w:lineRule="atLeast"/>
              <w:jc w:val="both"/>
              <w:rPr>
                <w:rFonts w:ascii="Palatino Linotype" w:hAnsi="Palatino Linotype" w:cs="Times New Roman"/>
                <w:b/>
                <w:i/>
                <w:sz w:val="20"/>
                <w:szCs w:val="20"/>
              </w:rPr>
            </w:pPr>
            <w:r w:rsidRPr="00A53157">
              <w:rPr>
                <w:rFonts w:ascii="Palatino Linotype" w:hAnsi="Palatino Linotype" w:cs="Times New Roman"/>
                <w:b/>
                <w:sz w:val="20"/>
                <w:szCs w:val="20"/>
              </w:rPr>
              <w:t>1</w:t>
            </w:r>
          </w:p>
        </w:tc>
        <w:tc>
          <w:tcPr>
            <w:tcW w:w="6435" w:type="dxa"/>
            <w:tcBorders>
              <w:bottom w:val="single" w:sz="4" w:space="0" w:color="auto"/>
            </w:tcBorders>
          </w:tcPr>
          <w:p w:rsidR="008E6C43" w:rsidRPr="00A53157" w:rsidRDefault="008E6C43" w:rsidP="00A53157">
            <w:pPr>
              <w:spacing w:after="0" w:line="240" w:lineRule="atLeast"/>
              <w:rPr>
                <w:rFonts w:ascii="Palatino Linotype" w:hAnsi="Palatino Linotype" w:cs="Times New Roman"/>
                <w:i/>
                <w:sz w:val="20"/>
                <w:szCs w:val="20"/>
              </w:rPr>
            </w:pPr>
            <w:r w:rsidRPr="00A53157">
              <w:rPr>
                <w:rFonts w:ascii="Palatino Linotype" w:hAnsi="Palatino Linotype" w:cs="Times New Roman"/>
                <w:sz w:val="20"/>
                <w:szCs w:val="20"/>
              </w:rPr>
              <w:t>Maximisation of energy storage</w:t>
            </w:r>
            <w:r w:rsidRPr="00A53157">
              <w:rPr>
                <w:rFonts w:ascii="Palatino Linotype" w:hAnsi="Palatino Linotype" w:cs="Times New Roman"/>
                <w:sz w:val="20"/>
                <w:szCs w:val="20"/>
                <w:vertAlign w:val="subscript"/>
              </w:rPr>
              <w:t xml:space="preserve"> </w:t>
            </w:r>
            <w:r w:rsidRPr="00A53157">
              <w:rPr>
                <w:rFonts w:ascii="Palatino Linotype" w:hAnsi="Palatino Linotype" w:cs="Times New Roman"/>
                <w:sz w:val="20"/>
                <w:szCs w:val="20"/>
              </w:rPr>
              <w:t>(linear)</w:t>
            </w:r>
          </w:p>
        </w:tc>
        <w:tc>
          <w:tcPr>
            <w:tcW w:w="3197" w:type="dxa"/>
            <w:tcBorders>
              <w:bottom w:val="single" w:sz="4" w:space="0" w:color="auto"/>
            </w:tcBorders>
            <w:vAlign w:val="center"/>
          </w:tcPr>
          <w:p w:rsidR="008E6C43" w:rsidRPr="00A53157" w:rsidRDefault="008E6C43" w:rsidP="00A53157">
            <w:pPr>
              <w:spacing w:after="0" w:line="240" w:lineRule="atLeast"/>
              <w:jc w:val="center"/>
              <w:rPr>
                <w:rFonts w:ascii="Palatino Linotype" w:hAnsi="Palatino Linotype" w:cs="Times New Roman"/>
                <w:i/>
                <w:sz w:val="20"/>
                <w:szCs w:val="20"/>
              </w:rPr>
            </w:pPr>
            <w:r w:rsidRPr="00A53157">
              <w:rPr>
                <w:rFonts w:ascii="Palatino Linotype" w:hAnsi="Palatino Linotype" w:cs="Times New Roman"/>
                <w:i/>
                <w:sz w:val="20"/>
                <w:szCs w:val="20"/>
              </w:rPr>
              <w:fldChar w:fldCharType="begin" w:fldLock="1"/>
            </w:r>
            <w:r w:rsidR="005F49D2">
              <w:rPr>
                <w:rFonts w:ascii="Palatino Linotype" w:hAnsi="Palatino Linotype" w:cs="Times New Roman"/>
                <w:sz w:val="20"/>
                <w:szCs w:val="20"/>
              </w:rPr>
              <w:instrText>ADDIN CSL_CITATION {"citationItems":[{"id":"ITEM-1","itemData":{"DOI":"10.1186/s12918-015-0190-y","ISBN":"1752-0509","ISSN":"1752-0509","PMID":"26248853","abstract":"BACKGROUND: Rhodococcus jostii RHA1 growing on different substrates is capable of accumulating simultaneously three types of carbon storage compounds: glycogen, polyhydroxyalkanoates (PHA), and triacylglycerols (TAG). Under nitrogen-limited (N-limited) condition, the level of storage increases as is commonly observed for other bacteria. The proportion of each storage compound changes with substrate, but it remains unclear what modelling approach should be adopted to predict the relative composition of the mixture of the storage compounds. We analyzed the growth of R. jostii RHA1 under N-limited conditions using a genome-scale metabolic modelling approach to determine which global metabolic objective function could be used for the prediction.\\n\\nRESULTS: The R. jostii RHA1 model (iMT1174) produced during this study contains 1,243 balanced metabolites, 1,935 unique reactions, and 1,174 open reading frames (ORFs). Seven objective functions used with flux balance analysis (FBA) were compared for their capacity to predict the mixture of storage compounds accumulated after the sudden onset of N-limitation. Predictive abilities were determined using a Bayesian approach. Experimental data on storage accumulation mixture (glycogen, polyhydroxyalkanoates, and triacylglycerols) were obtained for batch cultures grown on glucose or acetate. The best FBA simulation results were obtained using a novel objective function for the N-limited condition which combined the maximization of the storage fluxes and the minimization of metabolic adjustments (MOMA) with the preceding non-limited conditions (max storage + environmental MOMA). The FBA solutions for the non-limited growth conditions were simply constrained by the objective function of growth rate maximization. Measurement of central metabolic fluxes by (13)C-labelling experiments of amino acids further supported the application of the environmental MOMA principle in the context of changing environment. Finally, it was found that the quantitative predictions of the storage mixture during N-limited storage accumulation were fairly sensitive to the biomass composition, as expected.\\n\\nCONCLUSIONS: The genome-scale metabolic model analysis of R. jostii RHA1 cultures suggested that the intracellular reaction flux profile immediately after the onset of N-limited condition are impacted by the values of the same fluxes during the period of non-limited growth. PHA turned out to be the main storage pool of the mixture in R. jo…","author":[{"dropping-particle":"","family":"Tajparast","given":"Mohammad","non-dropping-particle":"","parse-names":false,"suffix":""},{"dropping-particle":"","family":"Frigon","given":"Dominic","non-dropping-particle":"","parse-names":false,"suffix":""}],"container-title":"BMC systems biology","id":"ITEM-1","issued":{"date-parts":[["2015"]]},"page":"43","publisher":"BMC Systems Biology","title":"Genome-scale metabolic model of Rhodococcus jostii RHA1 (iMT1174) to study the accumulation of storage compounds during nitrogen-limited condition.","type":"article-journal","volume":"9"},"uris":["http://www.mendeley.com/documents/?uuid=3d16d02c-c905-4820-b26c-cb0de55a8d93"]}],"mendeley":{"formattedCitation":"[5]","plainTextFormattedCitation":"[5]","previouslyFormattedCitation":"[5]"},"properties":{"noteIndex":0},"schema":"https://github.com/citation-style-language/schema/raw/master/csl-citation.json"}</w:instrText>
            </w:r>
            <w:r w:rsidRPr="00A53157">
              <w:rPr>
                <w:rFonts w:ascii="Palatino Linotype" w:hAnsi="Palatino Linotype" w:cs="Times New Roman"/>
                <w:i/>
                <w:sz w:val="20"/>
                <w:szCs w:val="20"/>
              </w:rPr>
              <w:fldChar w:fldCharType="separate"/>
            </w:r>
            <w:r w:rsidR="005F49D2" w:rsidRPr="005F49D2">
              <w:rPr>
                <w:rFonts w:ascii="Palatino Linotype" w:hAnsi="Palatino Linotype" w:cs="Times New Roman"/>
                <w:noProof/>
                <w:sz w:val="20"/>
                <w:szCs w:val="20"/>
              </w:rPr>
              <w:t>[5]</w:t>
            </w:r>
            <w:r w:rsidRPr="00A53157">
              <w:rPr>
                <w:rFonts w:ascii="Palatino Linotype" w:hAnsi="Palatino Linotype" w:cs="Times New Roman"/>
                <w:i/>
                <w:sz w:val="20"/>
                <w:szCs w:val="20"/>
              </w:rPr>
              <w:fldChar w:fldCharType="end"/>
            </w:r>
          </w:p>
        </w:tc>
      </w:tr>
      <w:tr w:rsidR="008E6C43" w:rsidRPr="00A53157" w:rsidTr="00E10730">
        <w:tc>
          <w:tcPr>
            <w:tcW w:w="0" w:type="auto"/>
            <w:tcBorders>
              <w:top w:val="single" w:sz="4" w:space="0" w:color="auto"/>
              <w:left w:val="nil"/>
              <w:bottom w:val="single" w:sz="4" w:space="0" w:color="auto"/>
              <w:right w:val="nil"/>
            </w:tcBorders>
          </w:tcPr>
          <w:p w:rsidR="008E6C43" w:rsidRPr="00A53157" w:rsidRDefault="008E6C43" w:rsidP="00A53157">
            <w:pPr>
              <w:spacing w:after="0" w:line="240" w:lineRule="atLeast"/>
              <w:jc w:val="both"/>
              <w:rPr>
                <w:rFonts w:ascii="Palatino Linotype" w:hAnsi="Palatino Linotype" w:cs="Times New Roman"/>
                <w:i/>
                <w:sz w:val="20"/>
                <w:szCs w:val="20"/>
              </w:rPr>
            </w:pPr>
          </w:p>
        </w:tc>
        <w:tc>
          <w:tcPr>
            <w:tcW w:w="9632" w:type="dxa"/>
            <w:gridSpan w:val="2"/>
            <w:tcBorders>
              <w:top w:val="single" w:sz="4" w:space="0" w:color="auto"/>
              <w:left w:val="nil"/>
              <w:bottom w:val="single" w:sz="4" w:space="0" w:color="auto"/>
              <w:right w:val="nil"/>
            </w:tcBorders>
          </w:tcPr>
          <w:p w:rsidR="008E6C43" w:rsidRPr="00A53157" w:rsidRDefault="008E6C43" w:rsidP="00A53157">
            <w:pPr>
              <w:spacing w:after="0" w:line="240" w:lineRule="atLeast"/>
              <w:jc w:val="both"/>
              <w:rPr>
                <w:rFonts w:ascii="Palatino Linotype" w:hAnsi="Palatino Linotype" w:cs="Times New Roman"/>
                <w:b/>
                <w:sz w:val="20"/>
                <w:szCs w:val="20"/>
              </w:rPr>
            </w:pPr>
            <w:r w:rsidRPr="00A53157">
              <w:rPr>
                <w:rFonts w:ascii="Palatino Linotype" w:hAnsi="Palatino Linotype" w:cs="Times New Roman"/>
                <w:b/>
                <w:sz w:val="20"/>
                <w:szCs w:val="20"/>
              </w:rPr>
              <w:t>Rationale:</w:t>
            </w:r>
          </w:p>
          <w:p w:rsidR="008E6C43" w:rsidRPr="00A53157" w:rsidRDefault="008E6C43" w:rsidP="00A53157">
            <w:pPr>
              <w:spacing w:after="0" w:line="240" w:lineRule="atLeast"/>
              <w:jc w:val="both"/>
              <w:rPr>
                <w:rFonts w:ascii="Palatino Linotype" w:hAnsi="Palatino Linotype" w:cs="Times New Roman"/>
                <w:i/>
                <w:sz w:val="20"/>
                <w:szCs w:val="20"/>
              </w:rPr>
            </w:pPr>
            <w:r w:rsidRPr="00A53157">
              <w:rPr>
                <w:rFonts w:ascii="Palatino Linotype" w:hAnsi="Palatino Linotype" w:cs="Times New Roman"/>
                <w:sz w:val="20"/>
                <w:szCs w:val="20"/>
              </w:rPr>
              <w:t xml:space="preserve">Cells growing under </w:t>
            </w:r>
            <w:r w:rsidRPr="00A53157">
              <w:rPr>
                <w:rFonts w:ascii="Palatino Linotype" w:hAnsi="Palatino Linotype" w:cs="Times New Roman"/>
                <w:noProof/>
                <w:sz w:val="20"/>
                <w:szCs w:val="20"/>
              </w:rPr>
              <w:t>nitrogen-limited</w:t>
            </w:r>
            <w:r w:rsidRPr="00A53157">
              <w:rPr>
                <w:rFonts w:ascii="Palatino Linotype" w:hAnsi="Palatino Linotype" w:cs="Times New Roman"/>
                <w:sz w:val="20"/>
                <w:szCs w:val="20"/>
              </w:rPr>
              <w:t xml:space="preserve"> conditions prioritise the production of energy storage compounds rather than cell growth. </w:t>
            </w:r>
          </w:p>
          <w:p w:rsidR="008E6C43" w:rsidRPr="00A53157" w:rsidRDefault="008E6C43" w:rsidP="00A53157">
            <w:pPr>
              <w:spacing w:after="0" w:line="240" w:lineRule="atLeast"/>
              <w:jc w:val="both"/>
              <w:rPr>
                <w:rFonts w:ascii="Palatino Linotype" w:hAnsi="Palatino Linotype" w:cs="Times New Roman"/>
                <w:b/>
                <w:sz w:val="20"/>
                <w:szCs w:val="20"/>
              </w:rPr>
            </w:pPr>
            <w:bookmarkStart w:id="52" w:name="OLE_LINK202"/>
            <w:r w:rsidRPr="00A53157">
              <w:rPr>
                <w:rFonts w:ascii="Palatino Linotype" w:hAnsi="Palatino Linotype" w:cs="Times New Roman"/>
                <w:b/>
                <w:sz w:val="20"/>
                <w:szCs w:val="20"/>
              </w:rPr>
              <w:t>Definition:</w:t>
            </w:r>
          </w:p>
          <w:bookmarkEnd w:id="52"/>
          <w:p w:rsidR="008E6C43" w:rsidRPr="00A53157" w:rsidRDefault="008E6C43" w:rsidP="00A53157">
            <w:pPr>
              <w:spacing w:after="0" w:line="240" w:lineRule="atLeast"/>
              <w:jc w:val="center"/>
              <w:rPr>
                <w:rFonts w:ascii="Palatino Linotype" w:hAnsi="Palatino Linotype" w:cs="Times New Roman"/>
                <w:i/>
                <w:sz w:val="20"/>
                <w:szCs w:val="20"/>
              </w:rPr>
            </w:pPr>
            <m:oMathPara>
              <m:oMathParaPr>
                <m:jc m:val="left"/>
              </m:oMathParaPr>
              <m:oMath>
                <m:r>
                  <w:rPr>
                    <w:rFonts w:ascii="Cambria Math" w:hAnsi="Cambria Math" w:cs="Times New Roman"/>
                    <w:sz w:val="20"/>
                    <w:szCs w:val="20"/>
                  </w:rPr>
                  <m:t>max⁡</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v</m:t>
                        </m:r>
                      </m:e>
                      <m:sub>
                        <m:r>
                          <w:rPr>
                            <w:rFonts w:ascii="Cambria Math" w:hAnsi="Cambria Math" w:cs="Times New Roman"/>
                            <w:sz w:val="20"/>
                            <w:szCs w:val="20"/>
                          </w:rPr>
                          <m:t>PHB</m:t>
                        </m:r>
                      </m:sub>
                    </m:sSub>
                  </m:e>
                </m:d>
              </m:oMath>
            </m:oMathPara>
          </w:p>
          <w:p w:rsidR="008E6C43" w:rsidRPr="00A53157" w:rsidRDefault="008E6C43" w:rsidP="00A53157">
            <w:pPr>
              <w:spacing w:after="0" w:line="240" w:lineRule="atLeast"/>
              <w:jc w:val="center"/>
              <w:rPr>
                <w:rFonts w:ascii="Palatino Linotype" w:hAnsi="Palatino Linotype" w:cs="Times New Roman"/>
                <w:i/>
                <w:sz w:val="20"/>
                <w:szCs w:val="20"/>
              </w:rPr>
            </w:pPr>
          </w:p>
        </w:tc>
      </w:tr>
      <w:tr w:rsidR="008E6C43" w:rsidRPr="00A53157" w:rsidTr="00E10730">
        <w:tc>
          <w:tcPr>
            <w:tcW w:w="0" w:type="auto"/>
            <w:tcBorders>
              <w:top w:val="single" w:sz="4" w:space="0" w:color="auto"/>
              <w:bottom w:val="single" w:sz="4" w:space="0" w:color="auto"/>
            </w:tcBorders>
          </w:tcPr>
          <w:p w:rsidR="008E6C43" w:rsidRPr="00A53157" w:rsidRDefault="008E6C43" w:rsidP="00A53157">
            <w:pPr>
              <w:spacing w:after="0" w:line="240" w:lineRule="atLeast"/>
              <w:jc w:val="both"/>
              <w:rPr>
                <w:rFonts w:ascii="Palatino Linotype" w:hAnsi="Palatino Linotype" w:cs="Times New Roman"/>
                <w:b/>
                <w:i/>
                <w:sz w:val="20"/>
                <w:szCs w:val="20"/>
              </w:rPr>
            </w:pPr>
            <w:r w:rsidRPr="00A53157">
              <w:rPr>
                <w:rFonts w:ascii="Palatino Linotype" w:hAnsi="Palatino Linotype" w:cs="Times New Roman"/>
                <w:b/>
                <w:sz w:val="20"/>
                <w:szCs w:val="20"/>
              </w:rPr>
              <w:t>2</w:t>
            </w:r>
          </w:p>
        </w:tc>
        <w:tc>
          <w:tcPr>
            <w:tcW w:w="6435" w:type="dxa"/>
            <w:tcBorders>
              <w:top w:val="single" w:sz="4" w:space="0" w:color="auto"/>
              <w:bottom w:val="single" w:sz="4" w:space="0" w:color="auto"/>
            </w:tcBorders>
          </w:tcPr>
          <w:p w:rsidR="008E6C43" w:rsidRPr="00A53157" w:rsidRDefault="008E6C43" w:rsidP="00A53157">
            <w:pPr>
              <w:spacing w:after="0" w:line="240" w:lineRule="atLeast"/>
              <w:jc w:val="both"/>
              <w:rPr>
                <w:rFonts w:ascii="Palatino Linotype" w:hAnsi="Palatino Linotype" w:cs="Times New Roman"/>
                <w:i/>
                <w:sz w:val="20"/>
                <w:szCs w:val="20"/>
              </w:rPr>
            </w:pPr>
            <w:bookmarkStart w:id="53" w:name="OLE_LINK203"/>
            <w:bookmarkStart w:id="54" w:name="OLE_LINK204"/>
            <w:r w:rsidRPr="00A53157">
              <w:rPr>
                <w:rFonts w:ascii="Palatino Linotype" w:hAnsi="Palatino Linotype" w:cs="Times New Roman"/>
                <w:sz w:val="20"/>
                <w:szCs w:val="20"/>
              </w:rPr>
              <w:t>Maximisation of ATP yield</w:t>
            </w:r>
            <w:bookmarkEnd w:id="53"/>
            <w:bookmarkEnd w:id="54"/>
          </w:p>
        </w:tc>
        <w:tc>
          <w:tcPr>
            <w:tcW w:w="3197" w:type="dxa"/>
            <w:tcBorders>
              <w:top w:val="single" w:sz="4" w:space="0" w:color="auto"/>
              <w:bottom w:val="single" w:sz="4" w:space="0" w:color="auto"/>
            </w:tcBorders>
            <w:vAlign w:val="center"/>
          </w:tcPr>
          <w:p w:rsidR="008E6C43" w:rsidRPr="00A53157" w:rsidRDefault="008E6C43" w:rsidP="00A53157">
            <w:pPr>
              <w:spacing w:after="0" w:line="240" w:lineRule="atLeast"/>
              <w:jc w:val="center"/>
              <w:rPr>
                <w:rFonts w:ascii="Palatino Linotype" w:hAnsi="Palatino Linotype" w:cs="Times New Roman"/>
                <w:i/>
                <w:sz w:val="20"/>
                <w:szCs w:val="20"/>
              </w:rPr>
            </w:pPr>
            <w:r w:rsidRPr="00A53157">
              <w:rPr>
                <w:rFonts w:ascii="Palatino Linotype" w:hAnsi="Palatino Linotype" w:cs="Times New Roman"/>
                <w:i/>
                <w:sz w:val="20"/>
                <w:szCs w:val="20"/>
              </w:rPr>
              <w:fldChar w:fldCharType="begin" w:fldLock="1"/>
            </w:r>
            <w:r w:rsidR="005F49D2">
              <w:rPr>
                <w:rFonts w:ascii="Palatino Linotype" w:hAnsi="Palatino Linotype" w:cs="Times New Roman"/>
                <w:sz w:val="20"/>
                <w:szCs w:val="20"/>
              </w:rPr>
              <w:instrText>ADDIN CSL_CITATION {"citationItems":[{"id":"ITEM-1","itemData":{"DOI":"10.1093/bioinformatics/btl619","ISBN":"1460-2059 (Electronic)","ISSN":"13674803","PMID":"17150997","abstract":"MOTIVATION: A critical component of in silico analysis of underdetermined metabolic systems is the identification of the appropriate objective function. A common assumption is that the objective of the cell is to maximize growth. This objective function has been shown to be consistent in a few limited experimental cases, but may not be universally appropriate. Here a method is presented to quantitatively determine the most probable objective function. RESULTS: The genome-scale metabolism of Escherichia coli growing on succinate was used as a case-study for analysis. Five different objective functions, including maximization of growth rate, were chosen based on biological plausibility. A combination of flux balance analysis and linear programming was used to simulate cellular metabolism, which was then compared to independent experimental data using a Bayesian objective function discrimination technique. After comparing rates of oxygen uptake and acetate production, minimization of the production rate of redox potential was determined to be the most probable objective function. Given the appropriate reaction network and experimental data, the discrimination technique can be applied to any bacterium to test a variety of different possible objective functions. SUPPLEMENTARY INFORMATION: Additional files, code and a program for carrying out model discrimination are available at http://www.engr.uconn.edu/~srivasta/modisc.html.","author":[{"dropping-particle":"","family":"Knorr","given":"Andrea L.","non-dropping-particle":"","parse-names":false,"suffix":""},{"dropping-particle":"","family":"Jain","given":"Rishi","non-dropping-particle":"","parse-names":false,"suffix":""},{"dropping-particle":"","family":"Srivastava","given":"Ranjan","non-dropping-particle":"","parse-names":false,"suffix":""}],"container-title":"Bioinformatics","id":"ITEM-1","issue":"3","issued":{"date-parts":[["2007"]]},"page":"351-357","title":"Bayesian-based selection of metabolic objective functions","type":"article-journal","volume":"23"},"uris":["http://www.mendeley.com/documents/?uuid=0f8ca849-170c-41e9-92a4-6a39db117ca0"]}],"mendeley":{"formattedCitation":"[6]","plainTextFormattedCitation":"[6]","previouslyFormattedCitation":"[6]"},"properties":{"noteIndex":0},"schema":"https://github.com/citation-style-language/schema/raw/master/csl-citation.json"}</w:instrText>
            </w:r>
            <w:r w:rsidRPr="00A53157">
              <w:rPr>
                <w:rFonts w:ascii="Palatino Linotype" w:hAnsi="Palatino Linotype" w:cs="Times New Roman"/>
                <w:i/>
                <w:sz w:val="20"/>
                <w:szCs w:val="20"/>
              </w:rPr>
              <w:fldChar w:fldCharType="separate"/>
            </w:r>
            <w:r w:rsidR="005F49D2" w:rsidRPr="005F49D2">
              <w:rPr>
                <w:rFonts w:ascii="Palatino Linotype" w:hAnsi="Palatino Linotype" w:cs="Times New Roman"/>
                <w:noProof/>
                <w:sz w:val="20"/>
                <w:szCs w:val="20"/>
              </w:rPr>
              <w:t>[6]</w:t>
            </w:r>
            <w:r w:rsidRPr="00A53157">
              <w:rPr>
                <w:rFonts w:ascii="Palatino Linotype" w:hAnsi="Palatino Linotype" w:cs="Times New Roman"/>
                <w:i/>
                <w:sz w:val="20"/>
                <w:szCs w:val="20"/>
              </w:rPr>
              <w:fldChar w:fldCharType="end"/>
            </w:r>
            <w:r w:rsidRPr="00A53157">
              <w:rPr>
                <w:rFonts w:ascii="Palatino Linotype" w:hAnsi="Palatino Linotype" w:cs="Times New Roman"/>
                <w:sz w:val="20"/>
                <w:szCs w:val="20"/>
              </w:rPr>
              <w:t>,</w:t>
            </w:r>
            <w:r w:rsidRPr="00A53157">
              <w:rPr>
                <w:rFonts w:ascii="Palatino Linotype" w:hAnsi="Palatino Linotype" w:cs="Times New Roman"/>
                <w:i/>
                <w:sz w:val="20"/>
                <w:szCs w:val="20"/>
              </w:rPr>
              <w:fldChar w:fldCharType="begin" w:fldLock="1"/>
            </w:r>
            <w:r w:rsidR="005F49D2">
              <w:rPr>
                <w:rFonts w:ascii="Palatino Linotype" w:hAnsi="Palatino Linotype" w:cs="Times New Roman"/>
                <w:sz w:val="20"/>
                <w:szCs w:val="20"/>
              </w:rPr>
              <w:instrText>ADDIN CSL_CITATION {"citationItems":[{"id":"ITEM-1","itemData":{"DOI":"10.1002/bit.260480617","ISBN":"5106068118","abstract":"Using available biochemical information, metabolic networks have been constructed to describe the biochemistry of growth of Sacch</w:instrText>
            </w:r>
            <w:r w:rsidR="005F49D2">
              <w:rPr>
                <w:rFonts w:ascii="Palatino Linotype" w:hAnsi="Palatino Linotype" w:cs="Times New Roman" w:hint="eastAsia"/>
                <w:sz w:val="20"/>
                <w:szCs w:val="20"/>
              </w:rPr>
              <w:instrText>aromyces cerevisiae and Candida utilis on a wide variety of carbon substrates. All networks contained only two fitted parameters, the P/O ratio and a maintenance coefficient. It is shown that with a growth</w:instrText>
            </w:r>
            <w:r w:rsidR="005F49D2">
              <w:rPr>
                <w:rFonts w:ascii="Palatino Linotype" w:hAnsi="Palatino Linotype" w:cs="Times New Roman" w:hint="eastAsia"/>
                <w:sz w:val="20"/>
                <w:szCs w:val="20"/>
              </w:rPr>
              <w:instrText>‐</w:instrText>
            </w:r>
            <w:r w:rsidR="005F49D2">
              <w:rPr>
                <w:rFonts w:ascii="Palatino Linotype" w:hAnsi="Palatino Linotype" w:cs="Times New Roman" w:hint="eastAsia"/>
                <w:sz w:val="20"/>
                <w:szCs w:val="20"/>
              </w:rPr>
              <w:instrText>associated maintenance coefficient, K, of 1.37 mol ATP/ C</w:instrText>
            </w:r>
            <w:r w:rsidR="005F49D2">
              <w:rPr>
                <w:rFonts w:ascii="Palatino Linotype" w:hAnsi="Palatino Linotype" w:cs="Times New Roman" w:hint="eastAsia"/>
                <w:sz w:val="20"/>
                <w:szCs w:val="20"/>
              </w:rPr>
              <w:instrText>‐</w:instrText>
            </w:r>
            <w:r w:rsidR="005F49D2">
              <w:rPr>
                <w:rFonts w:ascii="Palatino Linotype" w:hAnsi="Palatino Linotype" w:cs="Times New Roman" w:hint="eastAsia"/>
                <w:sz w:val="20"/>
                <w:szCs w:val="20"/>
              </w:rPr>
              <w:instrText>mol protein for both yeasts and P/O ratios of 1.20 and 1.53 for S. cerevisiae and C. utilis, respectively, measured biomass yields could be described accurately. A metabolic flux analysis of aerobic growth of S. cerevisiae on glucose/ethanol mixt</w:instrText>
            </w:r>
            <w:r w:rsidR="005F49D2">
              <w:rPr>
                <w:rFonts w:ascii="Palatino Linotype" w:hAnsi="Palatino Linotype" w:cs="Times New Roman"/>
                <w:sz w:val="20"/>
                <w:szCs w:val="20"/>
              </w:rPr>
              <w:instrText>ures predicted five different metabolic flux regimes upon transition from 100% glucose to 100% ethanol. The metabolic network constructed for growth of S. cerevisiae on glucose was applied to perform a theoretical exercise on the overproduction of amino acids. It is shown that theoretical operational product yield values can be substantially lower than calculated maximum product yields. A practical case of lysine production was analyzed with respect to theoretical bottlenecks limiting product formation. P</w:instrText>
            </w:r>
            <w:r w:rsidR="005F49D2">
              <w:rPr>
                <w:rFonts w:ascii="Palatino Linotype" w:hAnsi="Palatino Linotype" w:cs="Times New Roman" w:hint="eastAsia"/>
                <w:sz w:val="20"/>
                <w:szCs w:val="20"/>
              </w:rPr>
              <w:instrText>redictions of network</w:instrText>
            </w:r>
            <w:r w:rsidR="005F49D2">
              <w:rPr>
                <w:rFonts w:ascii="Palatino Linotype" w:hAnsi="Palatino Linotype" w:cs="Times New Roman" w:hint="eastAsia"/>
                <w:sz w:val="20"/>
                <w:szCs w:val="20"/>
              </w:rPr>
              <w:instrText>‐</w:instrText>
            </w:r>
            <w:r w:rsidR="005F49D2">
              <w:rPr>
                <w:rFonts w:ascii="Palatino Linotype" w:hAnsi="Palatino Linotype" w:cs="Times New Roman" w:hint="eastAsia"/>
                <w:sz w:val="20"/>
                <w:szCs w:val="20"/>
              </w:rPr>
              <w:instrText>derived irreversibility limits for Ysp (</w:instrText>
            </w:r>
            <w:r w:rsidR="005F49D2">
              <w:rPr>
                <w:rFonts w:ascii="Palatino Linotype" w:hAnsi="Palatino Linotype" w:cs="Times New Roman" w:hint="eastAsia"/>
                <w:sz w:val="20"/>
                <w:szCs w:val="20"/>
              </w:rPr>
              <w:instrText>μ</w:instrText>
            </w:r>
            <w:r w:rsidR="005F49D2">
              <w:rPr>
                <w:rFonts w:ascii="Palatino Linotype" w:hAnsi="Palatino Linotype" w:cs="Times New Roman" w:hint="eastAsia"/>
                <w:sz w:val="20"/>
                <w:szCs w:val="20"/>
              </w:rPr>
              <w:instrText>) functions were compared with literature data. The comparisons show that in real systems such irreversibility constraints may be of relevance. It is concluded that analysis of metabolic netwo</w:instrText>
            </w:r>
            <w:r w:rsidR="005F49D2">
              <w:rPr>
                <w:rFonts w:ascii="Palatino Linotype" w:hAnsi="Palatino Linotype" w:cs="Times New Roman"/>
                <w:sz w:val="20"/>
                <w:szCs w:val="20"/>
              </w:rPr>
              <w:instrText>rk stoichiometry is a useful tool to detect metabolic limits and to guide process intensification studies. © 1995 John Wiley &amp; Sons, Inc. Copyright © 1995 John Wiley &amp; Sons, Inc.","author":[{"dropping-particle":"","family":"Gulik","given":"W.M.","non-dropping-particle":"van","parse-names":false,"suffix":""},{"dropping-particle":"","family":"Heijnen","given":"J.J.","non-dropping-particle":"","parse-names":false,"suffix":""}],"container-title":"Biotechnology and Bioengineering","id":"ITEM-1","issue":"6","issued":{"date-parts":[["1995"]]},"page":"681-698","title":"A metabolic network stoichiometry analysis of microbial growth and product formation","type":"article-journal","volume":"48"},"uris":["http://www.mendeley.com/documents/?uuid=6791ac29-1520-4d21-8f52-fc470abbcfb8"]}],"mendeley":{"formattedCitation":"[7]","plainTextFormattedCitation":"[7]","previouslyFormattedCitation":"[7]"},"properties":{"noteIndex":0},"schema":"https://github.com/citation-style-language/schema/raw/master/csl-citation.json"}</w:instrText>
            </w:r>
            <w:r w:rsidRPr="00A53157">
              <w:rPr>
                <w:rFonts w:ascii="Palatino Linotype" w:hAnsi="Palatino Linotype" w:cs="Times New Roman"/>
                <w:i/>
                <w:sz w:val="20"/>
                <w:szCs w:val="20"/>
              </w:rPr>
              <w:fldChar w:fldCharType="separate"/>
            </w:r>
            <w:r w:rsidR="005F49D2" w:rsidRPr="005F49D2">
              <w:rPr>
                <w:rFonts w:ascii="Palatino Linotype" w:hAnsi="Palatino Linotype" w:cs="Times New Roman"/>
                <w:noProof/>
                <w:sz w:val="20"/>
                <w:szCs w:val="20"/>
              </w:rPr>
              <w:t>[7]</w:t>
            </w:r>
            <w:r w:rsidRPr="00A53157">
              <w:rPr>
                <w:rFonts w:ascii="Palatino Linotype" w:hAnsi="Palatino Linotype" w:cs="Times New Roman"/>
                <w:i/>
                <w:sz w:val="20"/>
                <w:szCs w:val="20"/>
              </w:rPr>
              <w:fldChar w:fldCharType="end"/>
            </w:r>
          </w:p>
        </w:tc>
      </w:tr>
      <w:tr w:rsidR="008E6C43" w:rsidRPr="00A53157" w:rsidTr="00E10730">
        <w:tc>
          <w:tcPr>
            <w:tcW w:w="0" w:type="auto"/>
            <w:tcBorders>
              <w:top w:val="single" w:sz="4" w:space="0" w:color="auto"/>
              <w:left w:val="nil"/>
              <w:bottom w:val="single" w:sz="4" w:space="0" w:color="auto"/>
              <w:right w:val="nil"/>
            </w:tcBorders>
          </w:tcPr>
          <w:p w:rsidR="008E6C43" w:rsidRPr="00A53157" w:rsidRDefault="008E6C43" w:rsidP="00A53157">
            <w:pPr>
              <w:spacing w:after="0" w:line="240" w:lineRule="atLeast"/>
              <w:jc w:val="both"/>
              <w:rPr>
                <w:rFonts w:ascii="Palatino Linotype" w:hAnsi="Palatino Linotype" w:cs="Times New Roman"/>
                <w:i/>
                <w:sz w:val="20"/>
                <w:szCs w:val="20"/>
              </w:rPr>
            </w:pPr>
          </w:p>
        </w:tc>
        <w:tc>
          <w:tcPr>
            <w:tcW w:w="9632" w:type="dxa"/>
            <w:gridSpan w:val="2"/>
            <w:tcBorders>
              <w:top w:val="single" w:sz="4" w:space="0" w:color="auto"/>
              <w:left w:val="nil"/>
              <w:bottom w:val="single" w:sz="4" w:space="0" w:color="auto"/>
              <w:right w:val="nil"/>
            </w:tcBorders>
          </w:tcPr>
          <w:p w:rsidR="008E6C43" w:rsidRPr="00A53157" w:rsidRDefault="008E6C43" w:rsidP="00A53157">
            <w:pPr>
              <w:spacing w:after="0" w:line="240" w:lineRule="atLeast"/>
              <w:jc w:val="both"/>
              <w:rPr>
                <w:rFonts w:ascii="Palatino Linotype" w:hAnsi="Palatino Linotype" w:cs="Times New Roman"/>
                <w:b/>
                <w:sz w:val="20"/>
                <w:szCs w:val="20"/>
              </w:rPr>
            </w:pPr>
            <w:r w:rsidRPr="00A53157">
              <w:rPr>
                <w:rFonts w:ascii="Palatino Linotype" w:hAnsi="Palatino Linotype" w:cs="Times New Roman"/>
                <w:b/>
                <w:sz w:val="20"/>
                <w:szCs w:val="20"/>
              </w:rPr>
              <w:t>Rationale:</w:t>
            </w:r>
          </w:p>
          <w:p w:rsidR="008E6C43" w:rsidRPr="00A53157" w:rsidRDefault="008E6C43" w:rsidP="00A53157">
            <w:pPr>
              <w:spacing w:after="0" w:line="240" w:lineRule="atLeast"/>
              <w:jc w:val="both"/>
              <w:rPr>
                <w:rFonts w:ascii="Palatino Linotype" w:hAnsi="Palatino Linotype" w:cs="Times New Roman"/>
                <w:i/>
                <w:sz w:val="20"/>
                <w:szCs w:val="20"/>
              </w:rPr>
            </w:pPr>
            <w:bookmarkStart w:id="55" w:name="OLE_LINK200"/>
            <w:bookmarkStart w:id="56" w:name="OLE_LINK201"/>
            <w:r w:rsidRPr="00A53157">
              <w:rPr>
                <w:rFonts w:ascii="Palatino Linotype" w:hAnsi="Palatino Linotype" w:cs="Times New Roman"/>
                <w:sz w:val="20"/>
                <w:szCs w:val="20"/>
              </w:rPr>
              <w:t>Cells maximise energy production efficiency in the presence of ample carbon source</w:t>
            </w:r>
            <w:bookmarkEnd w:id="55"/>
            <w:bookmarkEnd w:id="56"/>
          </w:p>
          <w:p w:rsidR="008E6C43" w:rsidRPr="00A53157" w:rsidRDefault="008E6C43" w:rsidP="00A53157">
            <w:pPr>
              <w:spacing w:after="0" w:line="240" w:lineRule="atLeast"/>
              <w:jc w:val="both"/>
              <w:rPr>
                <w:rFonts w:ascii="Palatino Linotype" w:hAnsi="Palatino Linotype" w:cs="Times New Roman"/>
                <w:b/>
                <w:sz w:val="20"/>
                <w:szCs w:val="20"/>
              </w:rPr>
            </w:pPr>
            <w:r w:rsidRPr="00A53157">
              <w:rPr>
                <w:rFonts w:ascii="Palatino Linotype" w:hAnsi="Palatino Linotype" w:cs="Times New Roman"/>
                <w:b/>
                <w:sz w:val="20"/>
                <w:szCs w:val="20"/>
              </w:rPr>
              <w:t>Definition:</w:t>
            </w:r>
          </w:p>
          <w:p w:rsidR="008E6C43" w:rsidRPr="00A53157" w:rsidRDefault="008E6C43" w:rsidP="00A53157">
            <w:pPr>
              <w:spacing w:after="0" w:line="240" w:lineRule="atLeast"/>
              <w:jc w:val="center"/>
              <w:rPr>
                <w:rFonts w:ascii="Palatino Linotype" w:hAnsi="Palatino Linotype" w:cs="Times New Roman"/>
                <w:i/>
                <w:sz w:val="20"/>
                <w:szCs w:val="20"/>
              </w:rPr>
            </w:pPr>
            <m:oMathPara>
              <m:oMathParaPr>
                <m:jc m:val="left"/>
              </m:oMathParaPr>
              <m:oMath>
                <m:r>
                  <w:rPr>
                    <w:rFonts w:ascii="Cambria Math" w:hAnsi="Cambria Math" w:cs="Times New Roman"/>
                    <w:sz w:val="20"/>
                    <w:szCs w:val="20"/>
                  </w:rPr>
                  <m:t>max⁡</m:t>
                </m:r>
                <m:d>
                  <m:dPr>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v</m:t>
                            </m:r>
                          </m:e>
                          <m:sub>
                            <m:r>
                              <w:rPr>
                                <w:rFonts w:ascii="Cambria Math" w:hAnsi="Cambria Math" w:cs="Times New Roman"/>
                                <w:sz w:val="20"/>
                                <w:szCs w:val="20"/>
                              </w:rPr>
                              <m:t>ATP</m:t>
                            </m:r>
                          </m:sub>
                        </m:sSub>
                      </m:num>
                      <m:den>
                        <m:sSub>
                          <m:sSubPr>
                            <m:ctrlPr>
                              <w:rPr>
                                <w:rFonts w:ascii="Cambria Math" w:hAnsi="Cambria Math" w:cs="Times New Roman"/>
                                <w:sz w:val="20"/>
                                <w:szCs w:val="20"/>
                              </w:rPr>
                            </m:ctrlPr>
                          </m:sSubPr>
                          <m:e>
                            <m:r>
                              <w:rPr>
                                <w:rFonts w:ascii="Cambria Math" w:hAnsi="Cambria Math" w:cs="Times New Roman"/>
                                <w:sz w:val="20"/>
                                <w:szCs w:val="20"/>
                              </w:rPr>
                              <m:t>v</m:t>
                            </m:r>
                          </m:e>
                          <m:sub>
                            <m:r>
                              <w:rPr>
                                <w:rFonts w:ascii="Cambria Math" w:hAnsi="Cambria Math" w:cs="Times New Roman"/>
                                <w:sz w:val="20"/>
                                <w:szCs w:val="20"/>
                              </w:rPr>
                              <m:t>GLY</m:t>
                            </m:r>
                          </m:sub>
                        </m:sSub>
                      </m:den>
                    </m:f>
                  </m:e>
                </m:d>
              </m:oMath>
            </m:oMathPara>
          </w:p>
          <w:p w:rsidR="008E6C43" w:rsidRPr="00A53157" w:rsidRDefault="008E6C43" w:rsidP="00A53157">
            <w:pPr>
              <w:spacing w:after="0" w:line="240" w:lineRule="atLeast"/>
              <w:jc w:val="center"/>
              <w:rPr>
                <w:rFonts w:ascii="Palatino Linotype" w:hAnsi="Palatino Linotype" w:cs="Times New Roman"/>
                <w:i/>
                <w:sz w:val="20"/>
                <w:szCs w:val="20"/>
              </w:rPr>
            </w:pPr>
          </w:p>
        </w:tc>
      </w:tr>
      <w:tr w:rsidR="008E6C43" w:rsidRPr="00A53157" w:rsidTr="00E10730">
        <w:tc>
          <w:tcPr>
            <w:tcW w:w="0" w:type="auto"/>
            <w:tcBorders>
              <w:top w:val="single" w:sz="4" w:space="0" w:color="auto"/>
              <w:bottom w:val="single" w:sz="4" w:space="0" w:color="auto"/>
            </w:tcBorders>
          </w:tcPr>
          <w:p w:rsidR="008E6C43" w:rsidRPr="00A53157" w:rsidRDefault="008E6C43" w:rsidP="00A53157">
            <w:pPr>
              <w:spacing w:after="0" w:line="240" w:lineRule="atLeast"/>
              <w:jc w:val="both"/>
              <w:rPr>
                <w:rFonts w:ascii="Palatino Linotype" w:hAnsi="Palatino Linotype" w:cs="Times New Roman"/>
                <w:b/>
                <w:i/>
                <w:sz w:val="20"/>
                <w:szCs w:val="20"/>
              </w:rPr>
            </w:pPr>
            <w:r w:rsidRPr="00A53157">
              <w:rPr>
                <w:rFonts w:ascii="Palatino Linotype" w:hAnsi="Palatino Linotype" w:cs="Times New Roman"/>
                <w:b/>
                <w:sz w:val="20"/>
                <w:szCs w:val="20"/>
              </w:rPr>
              <w:t>3</w:t>
            </w:r>
          </w:p>
        </w:tc>
        <w:tc>
          <w:tcPr>
            <w:tcW w:w="6435" w:type="dxa"/>
            <w:tcBorders>
              <w:top w:val="single" w:sz="4" w:space="0" w:color="auto"/>
              <w:bottom w:val="single" w:sz="4" w:space="0" w:color="auto"/>
            </w:tcBorders>
          </w:tcPr>
          <w:p w:rsidR="008E6C43" w:rsidRPr="00A53157" w:rsidRDefault="008E6C43" w:rsidP="00A53157">
            <w:pPr>
              <w:spacing w:after="0" w:line="240" w:lineRule="atLeast"/>
              <w:jc w:val="both"/>
              <w:rPr>
                <w:rFonts w:ascii="Palatino Linotype" w:hAnsi="Palatino Linotype" w:cs="Times New Roman"/>
                <w:i/>
                <w:sz w:val="20"/>
                <w:szCs w:val="20"/>
              </w:rPr>
            </w:pPr>
            <w:r w:rsidRPr="00A53157">
              <w:rPr>
                <w:rFonts w:ascii="Palatino Linotype" w:hAnsi="Palatino Linotype" w:cs="Times New Roman"/>
                <w:sz w:val="20"/>
                <w:szCs w:val="20"/>
              </w:rPr>
              <w:t>Minimisation of metabolic adjustment (MOMA)</w:t>
            </w:r>
          </w:p>
        </w:tc>
        <w:tc>
          <w:tcPr>
            <w:tcW w:w="3197" w:type="dxa"/>
            <w:tcBorders>
              <w:top w:val="single" w:sz="4" w:space="0" w:color="auto"/>
              <w:bottom w:val="single" w:sz="4" w:space="0" w:color="auto"/>
            </w:tcBorders>
            <w:vAlign w:val="center"/>
          </w:tcPr>
          <w:p w:rsidR="008E6C43" w:rsidRPr="00A53157" w:rsidRDefault="008E6C43" w:rsidP="005F49D2">
            <w:pPr>
              <w:spacing w:after="0" w:line="240" w:lineRule="atLeast"/>
              <w:jc w:val="center"/>
              <w:rPr>
                <w:rFonts w:ascii="Palatino Linotype" w:hAnsi="Palatino Linotype" w:cs="Times New Roman"/>
                <w:i/>
                <w:sz w:val="20"/>
                <w:szCs w:val="20"/>
              </w:rPr>
            </w:pPr>
            <w:r w:rsidRPr="00A53157">
              <w:rPr>
                <w:rFonts w:ascii="Palatino Linotype" w:hAnsi="Palatino Linotype" w:cs="Times New Roman"/>
                <w:i/>
                <w:sz w:val="20"/>
                <w:szCs w:val="20"/>
              </w:rPr>
              <w:fldChar w:fldCharType="begin" w:fldLock="1"/>
            </w:r>
            <w:r w:rsidR="005F49D2">
              <w:rPr>
                <w:rFonts w:ascii="Palatino Linotype" w:hAnsi="Palatino Linotype" w:cs="Times New Roman"/>
                <w:sz w:val="20"/>
                <w:szCs w:val="20"/>
              </w:rPr>
              <w:instrText>ADDIN CSL_CITATION {"citationItems":[{"id":"ITEM-1","itemData":{"DOI":"10.1186/s12918-015-0190-y","ISBN":"1752-0509","ISSN":"1752-0509","PMID":"26248853","abstract":"BACKGROUND: Rhodococcus jostii RHA1 growing on different substrates is capable of accumulating simultaneously three types of carbon storage compounds: glycogen, polyhydroxyalkanoates (PHA), and triacylglycerols (TAG). Under nitrogen-limited (N-limited) condition, the level of storage increases as is commonly observed for other bacteria. The proportion of each storage compound changes with substrate, but it remains unclear what modelling approach should be adopted to predict the relative composition of the mixture of the storage compounds. We analyzed the growth of R. jostii RHA1 under N-limited conditions using a genome-scale metabolic modelling approach to determine which global metabolic objective function could be used for the prediction.\\n\\nRESULTS: The R. jostii RHA1 model (iMT1174) produced during this study contains 1,243 balanced metabolites, 1,935 unique reactions, and 1,174 open reading frames (ORFs). Seven objective functions used with flux balance analysis (FBA) were compared for their capacity to predict the mixture of storage compounds accumulated after the sudden onset of N-limitation. Predictive abilities were determined using a Bayesian approach. Experimental data on storage accumulation mixture (glycogen, polyhydroxyalkanoates, and triacylglycerols) were obtained for batch cultures grown on glucose or acetate. The best FBA simulation results were obtained using a novel objective function for the N-limited condition which combined the maximization of the storage fluxes and the minimization of metabolic adjustments (MOMA) with the preceding non-limited conditions (max storage + environmental MOMA). The FBA solutions for the non-limited growth conditions were simply constrained by the objective function of growth rate maximization. Measurement of central metabolic fluxes by (13)C-labelling experiments of amino acids further supported the application of the environmental MOMA principle in the context of changing environment. Finally, it was found that the quantitative predictions of the storage mixture during N-limited storage accumulation were fairly sensitive to the biomass composition, as expected.\\n\\nCONCLUSIONS: The genome-scale metabolic model analysis of R. jostii RHA1 cultures suggested that the intracellular reaction flux profile immediately after the onset of N-limited condition are impacted by the values of the same fluxes during the period of non-limited growth. PHA turned out to be the main storage pool of the mixture in R. jo…","author":[{"dropping-particle":"","family":"Tajparast","given":"Mohammad","non-dropping-particle":"","parse-names":false,"suffix":""},{"dropping-particle":"","family":"Frigon","given":"Dominic","non-dropping-particle":"","parse-names":false,"suffix":""}],"container-title":"BMC systems biology","id":"ITEM-1","issued":{"date-parts":[["2015"]]},"page":"43","publisher":"BMC Systems Biology","title":"Genome-scale metabolic model of Rhodococcus jostii RHA1 (iMT1174) to study the accumulation of storage compounds during nitrogen-limited condition.","type":"article-journal","volume":"9"},"uris":["http://www.mendeley.com/documents/?uuid=3d16d02c-c905-4820-b26c-cb0de55a8d93"]}],"mendeley":{"formattedCitation":"[5]","plainTextFormattedCitation":"[5]","previouslyFormattedCitation":"[5]"},"properties":{"noteIndex":0},"schema":"https://github.com/citation-style-language/schema/raw/master/csl-citation.json"}</w:instrText>
            </w:r>
            <w:r w:rsidRPr="00A53157">
              <w:rPr>
                <w:rFonts w:ascii="Palatino Linotype" w:hAnsi="Palatino Linotype" w:cs="Times New Roman"/>
                <w:i/>
                <w:sz w:val="20"/>
                <w:szCs w:val="20"/>
              </w:rPr>
              <w:fldChar w:fldCharType="separate"/>
            </w:r>
            <w:r w:rsidR="005F49D2" w:rsidRPr="005F49D2">
              <w:rPr>
                <w:rFonts w:ascii="Palatino Linotype" w:hAnsi="Palatino Linotype" w:cs="Times New Roman"/>
                <w:noProof/>
                <w:sz w:val="20"/>
                <w:szCs w:val="20"/>
              </w:rPr>
              <w:t>[5]</w:t>
            </w:r>
            <w:r w:rsidRPr="00A53157">
              <w:rPr>
                <w:rFonts w:ascii="Palatino Linotype" w:hAnsi="Palatino Linotype" w:cs="Times New Roman"/>
                <w:i/>
                <w:sz w:val="20"/>
                <w:szCs w:val="20"/>
              </w:rPr>
              <w:fldChar w:fldCharType="end"/>
            </w:r>
            <w:r w:rsidRPr="00A53157">
              <w:rPr>
                <w:rFonts w:ascii="Palatino Linotype" w:hAnsi="Palatino Linotype" w:cs="Times New Roman"/>
                <w:sz w:val="20"/>
                <w:szCs w:val="20"/>
              </w:rPr>
              <w:t xml:space="preserve">, </w:t>
            </w:r>
            <w:r w:rsidRPr="00A53157">
              <w:rPr>
                <w:rFonts w:ascii="Palatino Linotype" w:hAnsi="Palatino Linotype" w:cs="Times New Roman"/>
                <w:i/>
                <w:sz w:val="20"/>
                <w:szCs w:val="20"/>
              </w:rPr>
              <w:fldChar w:fldCharType="begin" w:fldLock="1"/>
            </w:r>
            <w:r w:rsidR="005F49D2">
              <w:rPr>
                <w:rFonts w:ascii="Palatino Linotype" w:hAnsi="Palatino Linotype" w:cs="Times New Roman"/>
                <w:sz w:val="20"/>
                <w:szCs w:val="20"/>
              </w:rPr>
              <w:instrText>ADDIN CSL_CITATION {"citationItems":[{"id":"ITEM-1","itemData":{"DOI":"10.1038/nrg3643","ISBN":"1471-0064 (Electronic)\\r1471-0056 (Linking)","ISSN":"1471-0064","PMID":"24430943","abstract":"The prediction of cellular function from a genotype is a fundamental goal in biology. For metabolism, constraint-based modelling methods systematize biochemical, genetic and genomic knowledge into a mathematical framework that enables a mechanistic description of metabolic physiology. The use of constraint-based approaches has evolved over ~30 years, and an increasing number of studies have recently combined models with high-throughput data sets for prospective experimentation. These studies have led to validation of increasingly important and relevant biological predictions. As reviewed here, these recent successes have tangible implications in the fields of microbial evolution, interaction networks, genetic engineering and drug discovery.","author":[{"dropping-particle":"","family":"Bordbar","given":"Aarash","non-dropping-particle":"","parse-names":false,"suffix":""},{"dropping-particle":"","family":"Monk","given":"Jonathan M","non-dropping-particle":"","parse-names":false,"suffix":""},{"dropping-particle":"","family":"King","given":"Zachary A","non-dropping-particle":"","parse-names":false,"suffix":""},{"dropping-particle":"","family":"Palsson","given":"Bernhard Ø","non-dropping-particle":"","parse-names":false,"suffix":""}],"container-title":"Nature reviews Genetics","id":"ITEM-1","issue":"2","issued":{"date-parts":[["2014"]]},"page":"107-120","title":"Constraint-based models predict metabolic and associated cellular functions.","type":"article-journal","volume":"15"},"uris":["http://www.mendeley.com/documents/?uuid=5caa718d-4c7d-4176-bf14-9ca58808b524"]}],"mendeley":{"formattedCitation":"[8]","plainTextFormattedCitation":"[8]","previouslyFormattedCitation":"[8]"},"properties":{"noteIndex":0},"schema":"https://github.com/citation-style-language/schema/raw/master/csl-citation.json"}</w:instrText>
            </w:r>
            <w:r w:rsidRPr="00A53157">
              <w:rPr>
                <w:rFonts w:ascii="Palatino Linotype" w:hAnsi="Palatino Linotype" w:cs="Times New Roman"/>
                <w:i/>
                <w:sz w:val="20"/>
                <w:szCs w:val="20"/>
              </w:rPr>
              <w:fldChar w:fldCharType="separate"/>
            </w:r>
            <w:r w:rsidR="005F49D2" w:rsidRPr="005F49D2">
              <w:rPr>
                <w:rFonts w:ascii="Palatino Linotype" w:hAnsi="Palatino Linotype" w:cs="Times New Roman"/>
                <w:noProof/>
                <w:sz w:val="20"/>
                <w:szCs w:val="20"/>
              </w:rPr>
              <w:t>[8]</w:t>
            </w:r>
            <w:r w:rsidRPr="00A53157">
              <w:rPr>
                <w:rFonts w:ascii="Palatino Linotype" w:hAnsi="Palatino Linotype" w:cs="Times New Roman"/>
                <w:i/>
                <w:sz w:val="20"/>
                <w:szCs w:val="20"/>
              </w:rPr>
              <w:fldChar w:fldCharType="end"/>
            </w:r>
          </w:p>
        </w:tc>
      </w:tr>
      <w:tr w:rsidR="008E6C43" w:rsidRPr="00A53157" w:rsidTr="00E10730">
        <w:tc>
          <w:tcPr>
            <w:tcW w:w="0" w:type="auto"/>
            <w:tcBorders>
              <w:left w:val="nil"/>
              <w:right w:val="nil"/>
            </w:tcBorders>
          </w:tcPr>
          <w:p w:rsidR="008E6C43" w:rsidRPr="00A53157" w:rsidRDefault="008E6C43" w:rsidP="00A53157">
            <w:pPr>
              <w:spacing w:after="0" w:line="240" w:lineRule="atLeast"/>
              <w:jc w:val="both"/>
              <w:rPr>
                <w:rFonts w:ascii="Palatino Linotype" w:hAnsi="Palatino Linotype" w:cs="Times New Roman"/>
                <w:i/>
                <w:sz w:val="20"/>
                <w:szCs w:val="20"/>
              </w:rPr>
            </w:pPr>
          </w:p>
        </w:tc>
        <w:tc>
          <w:tcPr>
            <w:tcW w:w="9632" w:type="dxa"/>
            <w:gridSpan w:val="2"/>
            <w:tcBorders>
              <w:left w:val="nil"/>
              <w:right w:val="nil"/>
            </w:tcBorders>
          </w:tcPr>
          <w:p w:rsidR="008E6C43" w:rsidRPr="00A53157" w:rsidRDefault="008E6C43" w:rsidP="00A53157">
            <w:pPr>
              <w:spacing w:after="0" w:line="240" w:lineRule="atLeast"/>
              <w:jc w:val="both"/>
              <w:rPr>
                <w:rFonts w:ascii="Palatino Linotype" w:hAnsi="Palatino Linotype" w:cs="Times New Roman"/>
                <w:b/>
                <w:sz w:val="20"/>
                <w:szCs w:val="20"/>
              </w:rPr>
            </w:pPr>
            <w:r w:rsidRPr="00A53157">
              <w:rPr>
                <w:rFonts w:ascii="Palatino Linotype" w:hAnsi="Palatino Linotype" w:cs="Times New Roman"/>
                <w:b/>
                <w:sz w:val="20"/>
                <w:szCs w:val="20"/>
              </w:rPr>
              <w:t>Rationale:</w:t>
            </w:r>
          </w:p>
          <w:p w:rsidR="008E6C43" w:rsidRPr="00A53157" w:rsidRDefault="008E6C43" w:rsidP="00A53157">
            <w:pPr>
              <w:spacing w:after="0" w:line="240" w:lineRule="atLeast"/>
              <w:jc w:val="both"/>
              <w:rPr>
                <w:rFonts w:ascii="Palatino Linotype" w:hAnsi="Palatino Linotype" w:cs="Times New Roman"/>
                <w:i/>
                <w:sz w:val="20"/>
                <w:szCs w:val="20"/>
              </w:rPr>
            </w:pPr>
            <w:r w:rsidRPr="00A53157">
              <w:rPr>
                <w:rFonts w:ascii="Palatino Linotype" w:hAnsi="Palatino Linotype" w:cs="Times New Roman"/>
                <w:sz w:val="20"/>
                <w:szCs w:val="20"/>
              </w:rPr>
              <w:t xml:space="preserve">Cells </w:t>
            </w:r>
            <w:r w:rsidRPr="00A53157">
              <w:rPr>
                <w:rFonts w:ascii="Palatino Linotype" w:hAnsi="Palatino Linotype" w:cs="Times New Roman"/>
                <w:noProof/>
                <w:sz w:val="20"/>
                <w:szCs w:val="20"/>
              </w:rPr>
              <w:t>adapt</w:t>
            </w:r>
            <w:r w:rsidRPr="00A53157">
              <w:rPr>
                <w:rFonts w:ascii="Palatino Linotype" w:hAnsi="Palatino Linotype" w:cs="Times New Roman"/>
                <w:sz w:val="20"/>
                <w:szCs w:val="20"/>
              </w:rPr>
              <w:t xml:space="preserve"> to </w:t>
            </w:r>
            <w:r w:rsidRPr="00A53157">
              <w:rPr>
                <w:rFonts w:ascii="Palatino Linotype" w:hAnsi="Palatino Linotype" w:cs="Times New Roman"/>
                <w:noProof/>
                <w:sz w:val="20"/>
                <w:szCs w:val="20"/>
              </w:rPr>
              <w:t>a specific environmental</w:t>
            </w:r>
            <w:r w:rsidRPr="00A53157">
              <w:rPr>
                <w:rFonts w:ascii="Palatino Linotype" w:hAnsi="Palatino Linotype" w:cs="Times New Roman"/>
                <w:sz w:val="20"/>
                <w:szCs w:val="20"/>
              </w:rPr>
              <w:t xml:space="preserve"> or genetic condition by allowing minimal adjustment from their previous metabolic states.</w:t>
            </w:r>
          </w:p>
          <w:p w:rsidR="008E6C43" w:rsidRPr="00A53157" w:rsidRDefault="008E6C43" w:rsidP="00A53157">
            <w:pPr>
              <w:spacing w:after="0" w:line="240" w:lineRule="atLeast"/>
              <w:jc w:val="both"/>
              <w:rPr>
                <w:rFonts w:ascii="Palatino Linotype" w:hAnsi="Palatino Linotype" w:cs="Times New Roman"/>
                <w:b/>
                <w:sz w:val="20"/>
                <w:szCs w:val="20"/>
              </w:rPr>
            </w:pPr>
            <w:r w:rsidRPr="00A53157">
              <w:rPr>
                <w:rFonts w:ascii="Palatino Linotype" w:hAnsi="Palatino Linotype" w:cs="Times New Roman"/>
                <w:b/>
                <w:sz w:val="20"/>
                <w:szCs w:val="20"/>
              </w:rPr>
              <w:t>Definition:</w:t>
            </w:r>
          </w:p>
          <w:p w:rsidR="008E6C43" w:rsidRPr="00A53157" w:rsidRDefault="008E6C43" w:rsidP="00A53157">
            <w:pPr>
              <w:spacing w:after="0" w:line="240" w:lineRule="atLeast"/>
              <w:jc w:val="center"/>
              <w:rPr>
                <w:rFonts w:ascii="Palatino Linotype" w:hAnsi="Palatino Linotype" w:cs="Times New Roman"/>
                <w:i/>
                <w:sz w:val="20"/>
                <w:szCs w:val="20"/>
              </w:rPr>
            </w:pPr>
            <m:oMathPara>
              <m:oMathParaPr>
                <m:jc m:val="left"/>
              </m:oMathParaPr>
              <m:oMath>
                <m:r>
                  <w:rPr>
                    <w:rFonts w:ascii="Cambria Math" w:hAnsi="Cambria Math" w:cs="Times New Roman"/>
                    <w:sz w:val="20"/>
                    <w:szCs w:val="20"/>
                  </w:rPr>
                  <m:t>min⁡</m:t>
                </m:r>
                <m:d>
                  <m:dPr>
                    <m:ctrlPr>
                      <w:rPr>
                        <w:rFonts w:ascii="Cambria Math" w:hAnsi="Cambria Math" w:cs="Times New Roman"/>
                        <w:sz w:val="20"/>
                        <w:szCs w:val="20"/>
                      </w:rPr>
                    </m:ctrlPr>
                  </m:dPr>
                  <m:e>
                    <m:nary>
                      <m:naryPr>
                        <m:chr m:val="∑"/>
                        <m:limLoc m:val="undOvr"/>
                        <m:ctrlPr>
                          <w:rPr>
                            <w:rFonts w:ascii="Cambria Math" w:hAnsi="Cambria Math" w:cs="Times New Roman"/>
                            <w:sz w:val="20"/>
                            <w:szCs w:val="20"/>
                          </w:rPr>
                        </m:ctrlPr>
                      </m:naryPr>
                      <m:sub>
                        <m:r>
                          <w:rPr>
                            <w:rFonts w:ascii="Cambria Math" w:hAnsi="Cambria Math" w:cs="Times New Roman"/>
                            <w:sz w:val="20"/>
                            <w:szCs w:val="20"/>
                          </w:rPr>
                          <m:t>n=1</m:t>
                        </m:r>
                      </m:sub>
                      <m:sup>
                        <m:r>
                          <w:rPr>
                            <w:rFonts w:ascii="Cambria Math" w:hAnsi="Cambria Math" w:cs="Times New Roman"/>
                            <w:sz w:val="20"/>
                            <w:szCs w:val="20"/>
                          </w:rPr>
                          <m:t>j</m:t>
                        </m:r>
                      </m:sup>
                      <m:e>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v</m:t>
                            </m:r>
                          </m:e>
                          <m:sub>
                            <m:r>
                              <w:rPr>
                                <w:rFonts w:ascii="Cambria Math" w:hAnsi="Cambria Math" w:cs="Times New Roman"/>
                                <w:sz w:val="20"/>
                                <w:szCs w:val="20"/>
                              </w:rPr>
                              <m:t>n</m:t>
                            </m:r>
                          </m:sub>
                        </m:sSub>
                      </m:e>
                    </m:nary>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v</m:t>
                        </m:r>
                      </m:e>
                      <m:sub>
                        <m:r>
                          <w:rPr>
                            <w:rFonts w:ascii="Cambria Math" w:hAnsi="Cambria Math" w:cs="Times New Roman"/>
                            <w:sz w:val="20"/>
                            <w:szCs w:val="20"/>
                          </w:rPr>
                          <m:t>n,0</m:t>
                        </m:r>
                      </m:sub>
                    </m:sSub>
                    <m:sSup>
                      <m:sSupPr>
                        <m:ctrlPr>
                          <w:rPr>
                            <w:rFonts w:ascii="Cambria Math" w:hAnsi="Cambria Math" w:cs="Times New Roman"/>
                            <w:sz w:val="20"/>
                            <w:szCs w:val="20"/>
                          </w:rPr>
                        </m:ctrlPr>
                      </m:sSupPr>
                      <m:e>
                        <m:r>
                          <w:rPr>
                            <w:rFonts w:ascii="Cambria Math" w:hAnsi="Cambria Math" w:cs="Times New Roman"/>
                            <w:sz w:val="20"/>
                            <w:szCs w:val="20"/>
                          </w:rPr>
                          <m:t>)</m:t>
                        </m:r>
                      </m:e>
                      <m:sup>
                        <m:r>
                          <w:rPr>
                            <w:rFonts w:ascii="Cambria Math" w:hAnsi="Cambria Math" w:cs="Times New Roman"/>
                            <w:sz w:val="20"/>
                            <w:szCs w:val="20"/>
                          </w:rPr>
                          <m:t>2</m:t>
                        </m:r>
                      </m:sup>
                    </m:sSup>
                  </m:e>
                </m:d>
              </m:oMath>
            </m:oMathPara>
          </w:p>
          <w:p w:rsidR="008E6C43" w:rsidRPr="00A53157" w:rsidRDefault="008E6C43" w:rsidP="00A53157">
            <w:pPr>
              <w:spacing w:after="0" w:line="240" w:lineRule="atLeast"/>
              <w:jc w:val="center"/>
              <w:rPr>
                <w:rFonts w:ascii="Palatino Linotype" w:hAnsi="Palatino Linotype" w:cs="Times New Roman"/>
                <w:i/>
                <w:sz w:val="20"/>
                <w:szCs w:val="20"/>
              </w:rPr>
            </w:pPr>
          </w:p>
          <w:p w:rsidR="008E6C43" w:rsidRPr="00A53157" w:rsidRDefault="008E6C43" w:rsidP="00A53157">
            <w:pPr>
              <w:spacing w:after="0" w:line="240" w:lineRule="atLeast"/>
              <w:jc w:val="center"/>
              <w:rPr>
                <w:rFonts w:ascii="Palatino Linotype" w:hAnsi="Palatino Linotype" w:cs="Times New Roman"/>
                <w:i/>
                <w:sz w:val="20"/>
                <w:szCs w:val="20"/>
              </w:rPr>
            </w:pPr>
          </w:p>
        </w:tc>
      </w:tr>
      <w:tr w:rsidR="008E6C43" w:rsidRPr="00A53157" w:rsidTr="00E10730">
        <w:tc>
          <w:tcPr>
            <w:tcW w:w="0" w:type="auto"/>
            <w:tcBorders>
              <w:bottom w:val="single" w:sz="4" w:space="0" w:color="auto"/>
            </w:tcBorders>
          </w:tcPr>
          <w:p w:rsidR="008E6C43" w:rsidRPr="00A53157" w:rsidRDefault="008E6C43" w:rsidP="00A53157">
            <w:pPr>
              <w:spacing w:after="0" w:line="240" w:lineRule="atLeast"/>
              <w:jc w:val="both"/>
              <w:rPr>
                <w:rFonts w:ascii="Palatino Linotype" w:hAnsi="Palatino Linotype" w:cs="Times New Roman"/>
                <w:b/>
                <w:i/>
                <w:sz w:val="20"/>
                <w:szCs w:val="20"/>
              </w:rPr>
            </w:pPr>
            <w:r w:rsidRPr="00A53157">
              <w:rPr>
                <w:rFonts w:ascii="Palatino Linotype" w:hAnsi="Palatino Linotype" w:cs="Times New Roman"/>
                <w:b/>
                <w:sz w:val="20"/>
                <w:szCs w:val="20"/>
              </w:rPr>
              <w:t>4</w:t>
            </w:r>
          </w:p>
        </w:tc>
        <w:tc>
          <w:tcPr>
            <w:tcW w:w="6435" w:type="dxa"/>
            <w:tcBorders>
              <w:bottom w:val="single" w:sz="4" w:space="0" w:color="auto"/>
            </w:tcBorders>
          </w:tcPr>
          <w:p w:rsidR="008E6C43" w:rsidRPr="00A53157" w:rsidRDefault="008E6C43" w:rsidP="00A53157">
            <w:pPr>
              <w:spacing w:after="0" w:line="240" w:lineRule="atLeast"/>
              <w:jc w:val="both"/>
              <w:rPr>
                <w:rFonts w:ascii="Palatino Linotype" w:hAnsi="Palatino Linotype" w:cs="Times New Roman"/>
                <w:i/>
                <w:sz w:val="20"/>
                <w:szCs w:val="20"/>
              </w:rPr>
            </w:pPr>
            <w:r w:rsidRPr="00A53157">
              <w:rPr>
                <w:rFonts w:ascii="Palatino Linotype" w:hAnsi="Palatino Linotype" w:cs="Times New Roman"/>
                <w:noProof/>
                <w:sz w:val="20"/>
                <w:szCs w:val="20"/>
              </w:rPr>
              <w:t>Minimisation</w:t>
            </w:r>
            <w:r w:rsidRPr="00A53157">
              <w:rPr>
                <w:rFonts w:ascii="Palatino Linotype" w:hAnsi="Palatino Linotype" w:cs="Times New Roman"/>
                <w:sz w:val="20"/>
                <w:szCs w:val="20"/>
              </w:rPr>
              <w:t xml:space="preserve"> of all metabolic fluxes</w:t>
            </w:r>
          </w:p>
        </w:tc>
        <w:tc>
          <w:tcPr>
            <w:tcW w:w="3197" w:type="dxa"/>
            <w:tcBorders>
              <w:bottom w:val="single" w:sz="4" w:space="0" w:color="auto"/>
            </w:tcBorders>
            <w:vAlign w:val="center"/>
          </w:tcPr>
          <w:p w:rsidR="008E6C43" w:rsidRPr="00A53157" w:rsidRDefault="008E6C43" w:rsidP="00A53157">
            <w:pPr>
              <w:spacing w:after="0" w:line="240" w:lineRule="atLeast"/>
              <w:jc w:val="center"/>
              <w:rPr>
                <w:rFonts w:ascii="Palatino Linotype" w:hAnsi="Palatino Linotype" w:cs="Times New Roman"/>
                <w:i/>
                <w:sz w:val="20"/>
                <w:szCs w:val="20"/>
              </w:rPr>
            </w:pPr>
            <w:r w:rsidRPr="00A53157">
              <w:rPr>
                <w:rFonts w:ascii="Palatino Linotype" w:hAnsi="Palatino Linotype" w:cs="Times New Roman"/>
                <w:i/>
                <w:sz w:val="20"/>
                <w:szCs w:val="20"/>
              </w:rPr>
              <w:fldChar w:fldCharType="begin" w:fldLock="1"/>
            </w:r>
            <w:r w:rsidR="005F49D2">
              <w:rPr>
                <w:rFonts w:ascii="Palatino Linotype" w:hAnsi="Palatino Linotype" w:cs="Times New Roman"/>
                <w:sz w:val="20"/>
                <w:szCs w:val="20"/>
              </w:rPr>
              <w:instrText>ADDIN CSL_CITATION {"citationItems":[{"id":"ITEM-1","itemData":{"DOI":"10.1111/j.1432-1033.2004.04213.x","ISBN":"0014-2956 (Print)\\r0014-2956 (Linking)","ISSN":"00142956","PMID":"15233787","abstract":"Cellular functions are ultimately linked to metabolic fluxes brought about by thousands of chemical reactions and transport processes. The synthesis of the underlying enzymes and membrane transporters causes the cell a certain 'effort' of energy and external resources. Considering that those cells should have had a selection advantage during natural evolution that enabled them to fulfil vital functions (such as growth, defence against toxic compounds, repair of DNA alterations, etc.) with minimal effort, one may postulate the principle of flux minimization, as follows: given the available external substrates and given a set of functionally important 'target' fluxes required to accomplish a specific pattern of cellular functions, the stationary metabolic fluxes have to become a minimum. To convert this principle into a mathematical method enabling the prediction of stationary metabolic fluxes, the total flux in the network is measured by a weighted linear combination of all individual fluxes whereby the thermodynamic equilibrium constants are used as weighting factors, i.e. the more the thermodynamic equilibrium lies on the right-hand side of the reaction, the larger the weighting factor for the backward reaction. A linear programming technique is applied to minimize the total flux at fixed values of the target fluxes and under the constraint of flux balance (= steady-state conditions) with respect to all metabolites. The theoretical concept is applied to two metabolic schemes: the energy and redox metabolism of erythrocytes, and the central metabolism of Methylobacterium extorquens AM1. The flux rates predicted by the flux-minimization method exhibit significant correlations with flux rates obtained by either kinetic modelling or direct experimental determination. Larger deviations occur for segments of the network composed of redundant branches where the flux-minimization method always attributes the total flux to the thermodynamically most favourable branch. Nevertheless, compared with existing methods of structural modelling, the principle of flux minimization appears to be a promising theoretical approach to assess stationary flux rates in metabolic systems in cases where a detailed kinetic model is not yet available.","author":[{"dropping-particle":"","family":"Holzhütter","given":"Hermann Georg","non-dropping-particle":"","parse-names":false,"suffix":""}],"container-title":"European Journal of Biochemistry","id":"ITEM-1","issue":"14","issued":{"date-parts":[["2004"]]},"page":"2905-2922","title":"The principle of flux minimization and its application to estimate stationary fluxes in metabolic networks","type":"article-journal","volume":"271"},"uris":["http://www.mendeley.com/documents/?uuid=d63fb4c2-d59c-41c5-86c7-046e3bc6fd2b"]}],"mendeley":{"formattedCitation":"[9]","plainTextFormattedCitation":"[9]","previouslyFormattedCitation":"[9]"},"properties":{"noteIndex":0},"schema":"https://github.com/citation-style-language/schema/raw/master/csl-citation.json"}</w:instrText>
            </w:r>
            <w:r w:rsidRPr="00A53157">
              <w:rPr>
                <w:rFonts w:ascii="Palatino Linotype" w:hAnsi="Palatino Linotype" w:cs="Times New Roman"/>
                <w:i/>
                <w:sz w:val="20"/>
                <w:szCs w:val="20"/>
              </w:rPr>
              <w:fldChar w:fldCharType="separate"/>
            </w:r>
            <w:r w:rsidR="005F49D2" w:rsidRPr="005F49D2">
              <w:rPr>
                <w:rFonts w:ascii="Palatino Linotype" w:hAnsi="Palatino Linotype" w:cs="Times New Roman"/>
                <w:noProof/>
                <w:sz w:val="20"/>
                <w:szCs w:val="20"/>
              </w:rPr>
              <w:t>[9]</w:t>
            </w:r>
            <w:r w:rsidRPr="00A53157">
              <w:rPr>
                <w:rFonts w:ascii="Palatino Linotype" w:hAnsi="Palatino Linotype" w:cs="Times New Roman"/>
                <w:i/>
                <w:sz w:val="20"/>
                <w:szCs w:val="20"/>
              </w:rPr>
              <w:fldChar w:fldCharType="end"/>
            </w:r>
          </w:p>
        </w:tc>
      </w:tr>
      <w:tr w:rsidR="008E6C43" w:rsidRPr="00A53157" w:rsidTr="00E10730">
        <w:tc>
          <w:tcPr>
            <w:tcW w:w="0" w:type="auto"/>
            <w:tcBorders>
              <w:left w:val="nil"/>
              <w:right w:val="nil"/>
            </w:tcBorders>
          </w:tcPr>
          <w:p w:rsidR="008E6C43" w:rsidRPr="00A53157" w:rsidRDefault="008E6C43" w:rsidP="00A53157">
            <w:pPr>
              <w:spacing w:after="0" w:line="240" w:lineRule="atLeast"/>
              <w:jc w:val="both"/>
              <w:rPr>
                <w:rFonts w:ascii="Palatino Linotype" w:hAnsi="Palatino Linotype" w:cs="Times New Roman"/>
                <w:sz w:val="20"/>
                <w:szCs w:val="20"/>
              </w:rPr>
            </w:pPr>
          </w:p>
        </w:tc>
        <w:tc>
          <w:tcPr>
            <w:tcW w:w="9632" w:type="dxa"/>
            <w:gridSpan w:val="2"/>
            <w:tcBorders>
              <w:left w:val="nil"/>
              <w:right w:val="nil"/>
            </w:tcBorders>
          </w:tcPr>
          <w:p w:rsidR="008E6C43" w:rsidRPr="00A53157" w:rsidRDefault="008E6C43" w:rsidP="00A53157">
            <w:pPr>
              <w:spacing w:after="0" w:line="240" w:lineRule="atLeast"/>
              <w:jc w:val="both"/>
              <w:rPr>
                <w:rFonts w:ascii="Palatino Linotype" w:hAnsi="Palatino Linotype" w:cs="Times New Roman"/>
                <w:b/>
                <w:sz w:val="20"/>
                <w:szCs w:val="20"/>
              </w:rPr>
            </w:pPr>
            <w:r w:rsidRPr="00A53157">
              <w:rPr>
                <w:rFonts w:ascii="Palatino Linotype" w:hAnsi="Palatino Linotype" w:cs="Times New Roman"/>
                <w:b/>
                <w:sz w:val="20"/>
                <w:szCs w:val="20"/>
              </w:rPr>
              <w:t>Rationale:</w:t>
            </w:r>
          </w:p>
          <w:p w:rsidR="008E6C43" w:rsidRPr="00A53157" w:rsidRDefault="008E6C43" w:rsidP="00A53157">
            <w:pPr>
              <w:spacing w:after="0" w:line="240" w:lineRule="atLeast"/>
              <w:jc w:val="both"/>
              <w:rPr>
                <w:rFonts w:ascii="Palatino Linotype" w:hAnsi="Palatino Linotype" w:cs="Times New Roman"/>
                <w:i/>
                <w:sz w:val="20"/>
                <w:szCs w:val="20"/>
              </w:rPr>
            </w:pPr>
            <w:r w:rsidRPr="00A53157">
              <w:rPr>
                <w:rFonts w:ascii="Palatino Linotype" w:hAnsi="Palatino Linotype" w:cs="Times New Roman"/>
                <w:sz w:val="20"/>
                <w:szCs w:val="20"/>
              </w:rPr>
              <w:t xml:space="preserve">Cells maximise their metabolic efficiency by accomplishing biochemical reactions with minimal effort </w:t>
            </w:r>
          </w:p>
          <w:p w:rsidR="008E6C43" w:rsidRPr="00A53157" w:rsidRDefault="008E6C43" w:rsidP="00A53157">
            <w:pPr>
              <w:spacing w:after="0" w:line="240" w:lineRule="atLeast"/>
              <w:jc w:val="both"/>
              <w:rPr>
                <w:rFonts w:ascii="Palatino Linotype" w:hAnsi="Palatino Linotype" w:cs="Times New Roman"/>
                <w:b/>
                <w:sz w:val="20"/>
                <w:szCs w:val="20"/>
              </w:rPr>
            </w:pPr>
            <w:r w:rsidRPr="00A53157">
              <w:rPr>
                <w:rFonts w:ascii="Palatino Linotype" w:hAnsi="Palatino Linotype" w:cs="Times New Roman"/>
                <w:b/>
                <w:sz w:val="20"/>
                <w:szCs w:val="20"/>
              </w:rPr>
              <w:t>Definition:</w:t>
            </w:r>
          </w:p>
          <w:p w:rsidR="008E6C43" w:rsidRPr="00A53157" w:rsidRDefault="008E6C43" w:rsidP="00A53157">
            <w:pPr>
              <w:spacing w:after="0" w:line="240" w:lineRule="atLeast"/>
              <w:jc w:val="center"/>
              <w:rPr>
                <w:rFonts w:ascii="Palatino Linotype" w:hAnsi="Palatino Linotype" w:cs="Times New Roman"/>
                <w:sz w:val="20"/>
                <w:szCs w:val="20"/>
              </w:rPr>
            </w:pPr>
            <m:oMathPara>
              <m:oMathParaPr>
                <m:jc m:val="left"/>
              </m:oMathParaPr>
              <m:oMath>
                <m:r>
                  <w:rPr>
                    <w:rFonts w:ascii="Cambria Math" w:hAnsi="Cambria Math" w:cs="Times New Roman"/>
                    <w:sz w:val="20"/>
                    <w:szCs w:val="20"/>
                  </w:rPr>
                  <m:t>min</m:t>
                </m:r>
                <m:d>
                  <m:dPr>
                    <m:ctrlPr>
                      <w:rPr>
                        <w:rFonts w:ascii="Cambria Math" w:hAnsi="Cambria Math" w:cs="Times New Roman"/>
                        <w:sz w:val="20"/>
                        <w:szCs w:val="20"/>
                      </w:rPr>
                    </m:ctrlPr>
                  </m:dPr>
                  <m:e>
                    <m:nary>
                      <m:naryPr>
                        <m:chr m:val="∑"/>
                        <m:limLoc m:val="undOvr"/>
                        <m:ctrlPr>
                          <w:rPr>
                            <w:rFonts w:ascii="Cambria Math" w:hAnsi="Cambria Math" w:cs="Times New Roman"/>
                            <w:sz w:val="20"/>
                            <w:szCs w:val="20"/>
                          </w:rPr>
                        </m:ctrlPr>
                      </m:naryPr>
                      <m:sub>
                        <m:r>
                          <w:rPr>
                            <w:rFonts w:ascii="Cambria Math" w:hAnsi="Cambria Math" w:cs="Times New Roman"/>
                            <w:sz w:val="20"/>
                            <w:szCs w:val="20"/>
                          </w:rPr>
                          <m:t>n=1</m:t>
                        </m:r>
                      </m:sub>
                      <m:sup>
                        <m:r>
                          <w:rPr>
                            <w:rFonts w:ascii="Cambria Math" w:hAnsi="Cambria Math" w:cs="Times New Roman"/>
                            <w:sz w:val="20"/>
                            <w:szCs w:val="20"/>
                          </w:rPr>
                          <m:t>j</m:t>
                        </m:r>
                      </m:sup>
                      <m:e>
                        <m:sSub>
                          <m:sSubPr>
                            <m:ctrlPr>
                              <w:rPr>
                                <w:rFonts w:ascii="Cambria Math" w:hAnsi="Cambria Math" w:cs="Times New Roman"/>
                                <w:sz w:val="20"/>
                                <w:szCs w:val="20"/>
                              </w:rPr>
                            </m:ctrlPr>
                          </m:sSubPr>
                          <m:e>
                            <m:r>
                              <w:rPr>
                                <w:rFonts w:ascii="Cambria Math" w:hAnsi="Cambria Math" w:cs="Times New Roman"/>
                                <w:sz w:val="20"/>
                                <w:szCs w:val="20"/>
                              </w:rPr>
                              <m:t>v</m:t>
                            </m:r>
                          </m:e>
                          <m:sub>
                            <m:r>
                              <w:rPr>
                                <w:rFonts w:ascii="Cambria Math" w:hAnsi="Cambria Math" w:cs="Times New Roman"/>
                                <w:sz w:val="20"/>
                                <w:szCs w:val="20"/>
                              </w:rPr>
                              <m:t>n</m:t>
                            </m:r>
                          </m:sub>
                        </m:sSub>
                      </m:e>
                    </m:nary>
                  </m:e>
                </m:d>
              </m:oMath>
            </m:oMathPara>
          </w:p>
          <w:p w:rsidR="008E6C43" w:rsidRPr="00A53157" w:rsidRDefault="008E6C43" w:rsidP="00A53157">
            <w:pPr>
              <w:spacing w:after="0" w:line="240" w:lineRule="atLeast"/>
              <w:jc w:val="center"/>
              <w:rPr>
                <w:rFonts w:ascii="Palatino Linotype" w:hAnsi="Palatino Linotype" w:cs="Times New Roman"/>
                <w:sz w:val="20"/>
                <w:szCs w:val="20"/>
              </w:rPr>
            </w:pPr>
          </w:p>
        </w:tc>
      </w:tr>
      <w:tr w:rsidR="008E6C43" w:rsidRPr="00A53157" w:rsidTr="00E10730">
        <w:tc>
          <w:tcPr>
            <w:tcW w:w="0" w:type="auto"/>
            <w:tcBorders>
              <w:bottom w:val="single" w:sz="4" w:space="0" w:color="auto"/>
            </w:tcBorders>
          </w:tcPr>
          <w:p w:rsidR="008E6C43" w:rsidRPr="00A53157" w:rsidRDefault="008E6C43" w:rsidP="00A53157">
            <w:pPr>
              <w:spacing w:after="0" w:line="240" w:lineRule="atLeast"/>
              <w:jc w:val="both"/>
              <w:rPr>
                <w:rFonts w:ascii="Palatino Linotype" w:hAnsi="Palatino Linotype" w:cs="Times New Roman"/>
                <w:b/>
                <w:i/>
                <w:sz w:val="20"/>
                <w:szCs w:val="20"/>
              </w:rPr>
            </w:pPr>
            <w:r w:rsidRPr="00A53157">
              <w:rPr>
                <w:rFonts w:ascii="Palatino Linotype" w:hAnsi="Palatino Linotype" w:cs="Times New Roman"/>
                <w:b/>
                <w:sz w:val="20"/>
                <w:szCs w:val="20"/>
              </w:rPr>
              <w:t>5</w:t>
            </w:r>
          </w:p>
        </w:tc>
        <w:tc>
          <w:tcPr>
            <w:tcW w:w="6435" w:type="dxa"/>
            <w:tcBorders>
              <w:bottom w:val="single" w:sz="4" w:space="0" w:color="auto"/>
            </w:tcBorders>
          </w:tcPr>
          <w:p w:rsidR="008E6C43" w:rsidRPr="004806DF" w:rsidRDefault="004806DF" w:rsidP="00A53157">
            <w:pPr>
              <w:spacing w:after="0" w:line="240" w:lineRule="atLeast"/>
              <w:jc w:val="both"/>
              <w:rPr>
                <w:rFonts w:ascii="Palatino Linotype" w:hAnsi="Palatino Linotype" w:cs="Times New Roman"/>
                <w:sz w:val="20"/>
                <w:szCs w:val="20"/>
              </w:rPr>
            </w:pPr>
            <w:r w:rsidRPr="004806DF">
              <w:rPr>
                <w:rFonts w:ascii="Palatino Linotype" w:hAnsi="Palatino Linotype" w:cs="Times New Roman" w:hint="eastAsia"/>
                <w:sz w:val="20"/>
                <w:szCs w:val="20"/>
              </w:rPr>
              <w:t>Maximisation</w:t>
            </w:r>
            <w:r w:rsidRPr="004806DF">
              <w:rPr>
                <w:rFonts w:ascii="Palatino Linotype" w:hAnsi="Palatino Linotype" w:cs="Times New Roman"/>
                <w:sz w:val="20"/>
                <w:szCs w:val="20"/>
              </w:rPr>
              <w:t xml:space="preserve"> of ATP</w:t>
            </w:r>
            <w:r>
              <w:rPr>
                <w:rFonts w:ascii="Palatino Linotype" w:hAnsi="Palatino Linotype" w:cs="Times New Roman"/>
                <w:sz w:val="20"/>
                <w:szCs w:val="20"/>
              </w:rPr>
              <w:t xml:space="preserve"> yield per flux unit</w:t>
            </w:r>
          </w:p>
        </w:tc>
        <w:tc>
          <w:tcPr>
            <w:tcW w:w="3197" w:type="dxa"/>
            <w:tcBorders>
              <w:bottom w:val="single" w:sz="4" w:space="0" w:color="auto"/>
            </w:tcBorders>
            <w:vAlign w:val="center"/>
          </w:tcPr>
          <w:p w:rsidR="008E6C43" w:rsidRPr="00A53157" w:rsidRDefault="008E6C43" w:rsidP="00A53157">
            <w:pPr>
              <w:spacing w:after="0" w:line="240" w:lineRule="atLeast"/>
              <w:jc w:val="center"/>
              <w:rPr>
                <w:rFonts w:ascii="Palatino Linotype" w:hAnsi="Palatino Linotype" w:cs="Times New Roman"/>
                <w:i/>
                <w:sz w:val="20"/>
                <w:szCs w:val="20"/>
              </w:rPr>
            </w:pPr>
            <w:r w:rsidRPr="00A53157">
              <w:rPr>
                <w:rFonts w:ascii="Palatino Linotype" w:hAnsi="Palatino Linotype" w:cs="Times New Roman"/>
                <w:i/>
                <w:sz w:val="20"/>
                <w:szCs w:val="20"/>
              </w:rPr>
              <w:fldChar w:fldCharType="begin" w:fldLock="1"/>
            </w:r>
            <w:r w:rsidR="004806DF">
              <w:rPr>
                <w:rFonts w:ascii="Palatino Linotype" w:hAnsi="Palatino Linotype" w:cs="Times New Roman"/>
                <w:sz w:val="20"/>
                <w:szCs w:val="20"/>
              </w:rPr>
              <w:instrText>ADDIN CSL_CITATION {"citationItems":[{"id":"ITEM-1","itemData":{"DOI":"10.1038/msb4100162","ISBN":"1744-4292 (Electronic)","ISSN":"1744-4292","PMID":"17625511","abstract":"To which extent can optimality principles describe the operation of metabolic networks? By explicitly considering experimental errors and in silico alternate optima in flux balance analysis, we systematically evaluate the capacity of 11 objective functions combined with eight adjustable constraints to predict (13)C-determined in vivo fluxes in Escherichia coli under six environmental conditions. While no single objective describes the flux states under all conditions, we identified two sets of objectives for biologically meaningful predictions without the need for further, potentially artificial constraints. Unlimited growth on glucose in oxygen or nitrate respiring batch cultures is best described by nonlinear maximization of the ATP yield per flux unit. Under nutrient scarcity in continuous cultures, in contrast, linear maximization of the overall ATP or biomass yields achieved the highest predictive accuracy. Since these particular objectives predict the system behavior without preconditioning of the network structure, the identified optimality principles reflect, to some extent, the evolutionary selection of metabolic network regulation that realizes the various flux states.","author":[{"dropping-particle":"","family":"Schuetz","given":"Robert","non-dropping-particle":"","parse-names":false,"suffix":""},{"dropping-particle":"","family":"Kuepfer","given":"Lars","non-dropping-particle":"","parse-names":false,"suffix":""},{"dropping-particle":"","family":"Sauer","given":"Uwe","non-dropping-particle":"","parse-names":false,"suffix":""}],"container-title":"Molecular systems biology","id":"ITEM-1","issue":"119","issued":{"date-parts":[["2007"]]},"page":"119","title":"Systematic evaluation of objective functions for predicting intracellular fluxes in Escherichia coli.","type":"article-journal","volume":"3"},"uris":["http://www.mendeley.com/documents/?uuid=29f791c5-6586-474c-a4b9-f08e4c31cc78"]}],"mendeley":{"formattedCitation":"[10]","plainTextFormattedCitation":"[10]","previouslyFormattedCitation":"[6]"},"properties":{"noteIndex":0},"schema":"https://github.com/citation-style-language/schema/raw/master/csl-citation.json"}</w:instrText>
            </w:r>
            <w:r w:rsidRPr="00A53157">
              <w:rPr>
                <w:rFonts w:ascii="Palatino Linotype" w:hAnsi="Palatino Linotype" w:cs="Times New Roman"/>
                <w:i/>
                <w:sz w:val="20"/>
                <w:szCs w:val="20"/>
              </w:rPr>
              <w:fldChar w:fldCharType="separate"/>
            </w:r>
            <w:r w:rsidR="004806DF" w:rsidRPr="004806DF">
              <w:rPr>
                <w:rFonts w:ascii="Palatino Linotype" w:hAnsi="Palatino Linotype" w:cs="Times New Roman"/>
                <w:noProof/>
                <w:sz w:val="20"/>
                <w:szCs w:val="20"/>
              </w:rPr>
              <w:t>[10]</w:t>
            </w:r>
            <w:r w:rsidRPr="00A53157">
              <w:rPr>
                <w:rFonts w:ascii="Palatino Linotype" w:hAnsi="Palatino Linotype" w:cs="Times New Roman"/>
                <w:i/>
                <w:sz w:val="20"/>
                <w:szCs w:val="20"/>
              </w:rPr>
              <w:fldChar w:fldCharType="end"/>
            </w:r>
          </w:p>
        </w:tc>
      </w:tr>
      <w:tr w:rsidR="008E6C43" w:rsidRPr="00A53157" w:rsidTr="00E10730">
        <w:tc>
          <w:tcPr>
            <w:tcW w:w="0" w:type="auto"/>
            <w:tcBorders>
              <w:left w:val="nil"/>
              <w:bottom w:val="nil"/>
              <w:right w:val="nil"/>
            </w:tcBorders>
          </w:tcPr>
          <w:p w:rsidR="008E6C43" w:rsidRPr="00A53157" w:rsidRDefault="008E6C43" w:rsidP="00A53157">
            <w:pPr>
              <w:spacing w:after="0" w:line="240" w:lineRule="atLeast"/>
              <w:jc w:val="both"/>
              <w:rPr>
                <w:rFonts w:ascii="Palatino Linotype" w:hAnsi="Palatino Linotype" w:cs="Times New Roman"/>
                <w:sz w:val="20"/>
                <w:szCs w:val="20"/>
              </w:rPr>
            </w:pPr>
          </w:p>
        </w:tc>
        <w:tc>
          <w:tcPr>
            <w:tcW w:w="9632" w:type="dxa"/>
            <w:gridSpan w:val="2"/>
            <w:tcBorders>
              <w:left w:val="nil"/>
              <w:bottom w:val="nil"/>
              <w:right w:val="nil"/>
            </w:tcBorders>
          </w:tcPr>
          <w:p w:rsidR="008E6C43" w:rsidRPr="00A53157" w:rsidRDefault="008E6C43" w:rsidP="00A53157">
            <w:pPr>
              <w:spacing w:after="0" w:line="240" w:lineRule="atLeast"/>
              <w:jc w:val="both"/>
              <w:rPr>
                <w:rFonts w:ascii="Palatino Linotype" w:hAnsi="Palatino Linotype" w:cs="Times New Roman"/>
                <w:b/>
                <w:sz w:val="20"/>
                <w:szCs w:val="20"/>
              </w:rPr>
            </w:pPr>
            <w:r w:rsidRPr="00A53157">
              <w:rPr>
                <w:rFonts w:ascii="Palatino Linotype" w:hAnsi="Palatino Linotype" w:cs="Times New Roman"/>
                <w:b/>
                <w:sz w:val="20"/>
                <w:szCs w:val="20"/>
              </w:rPr>
              <w:t>Rationale:</w:t>
            </w:r>
          </w:p>
          <w:p w:rsidR="008E6C43" w:rsidRPr="00A53157" w:rsidRDefault="004806DF" w:rsidP="00A53157">
            <w:pPr>
              <w:spacing w:after="0" w:line="240" w:lineRule="atLeast"/>
              <w:jc w:val="both"/>
              <w:rPr>
                <w:rFonts w:ascii="Palatino Linotype" w:hAnsi="Palatino Linotype" w:cs="Times New Roman"/>
                <w:i/>
                <w:sz w:val="20"/>
                <w:szCs w:val="20"/>
              </w:rPr>
            </w:pPr>
            <w:r>
              <w:rPr>
                <w:rFonts w:ascii="Palatino Linotype" w:hAnsi="Palatino Linotype" w:cs="Times New Roman"/>
                <w:sz w:val="20"/>
                <w:szCs w:val="20"/>
              </w:rPr>
              <w:t>Cells operate to maximize ATP yield while minimising enzyme usage</w:t>
            </w:r>
          </w:p>
          <w:p w:rsidR="008E6C43" w:rsidRPr="004806DF" w:rsidRDefault="008E6C43" w:rsidP="00A53157">
            <w:pPr>
              <w:spacing w:after="0" w:line="240" w:lineRule="atLeast"/>
              <w:jc w:val="both"/>
              <w:rPr>
                <w:rFonts w:ascii="Palatino Linotype" w:hAnsi="Palatino Linotype" w:cs="Times New Roman"/>
                <w:b/>
                <w:sz w:val="20"/>
                <w:szCs w:val="20"/>
                <w:lang w:val="en-GB"/>
              </w:rPr>
            </w:pPr>
            <w:r w:rsidRPr="00A53157">
              <w:rPr>
                <w:rFonts w:ascii="Palatino Linotype" w:hAnsi="Palatino Linotype" w:cs="Times New Roman"/>
                <w:b/>
                <w:sz w:val="20"/>
                <w:szCs w:val="20"/>
              </w:rPr>
              <w:t>Definition:</w:t>
            </w:r>
          </w:p>
          <w:p w:rsidR="008E6C43" w:rsidRPr="00A53157" w:rsidRDefault="008E6C43" w:rsidP="004806DF">
            <w:pPr>
              <w:spacing w:after="0" w:line="240" w:lineRule="atLeast"/>
              <w:jc w:val="center"/>
              <w:rPr>
                <w:rFonts w:ascii="Palatino Linotype" w:hAnsi="Palatino Linotype" w:cs="Times New Roman"/>
                <w:sz w:val="20"/>
                <w:szCs w:val="20"/>
              </w:rPr>
            </w:pPr>
            <m:oMathPara>
              <m:oMathParaPr>
                <m:jc m:val="left"/>
              </m:oMathParaPr>
              <m:oMath>
                <m:r>
                  <w:rPr>
                    <w:rFonts w:ascii="Cambria Math" w:hAnsi="Cambria Math" w:cs="Times New Roman"/>
                    <w:sz w:val="20"/>
                    <w:szCs w:val="20"/>
                  </w:rPr>
                  <m:t>max⁡</m:t>
                </m:r>
                <m:d>
                  <m:dPr>
                    <m:ctrlPr>
                      <w:rPr>
                        <w:rFonts w:ascii="Cambria Math" w:hAnsi="Cambria Math" w:cs="Times New Roman"/>
                        <w:sz w:val="20"/>
                        <w:szCs w:val="20"/>
                      </w:rPr>
                    </m:ctrlPr>
                  </m:dPr>
                  <m:e>
                    <m:f>
                      <m:fPr>
                        <m:ctrlPr>
                          <w:rPr>
                            <w:rFonts w:ascii="Cambria Math" w:hAnsi="Cambria Math" w:cs="Times New Roman"/>
                            <w:sz w:val="20"/>
                            <w:szCs w:val="20"/>
                          </w:rPr>
                        </m:ctrlPr>
                      </m:fPr>
                      <m:num>
                        <m:nary>
                          <m:naryPr>
                            <m:chr m:val="∑"/>
                            <m:limLoc m:val="undOvr"/>
                            <m:subHide m:val="1"/>
                            <m:supHide m:val="1"/>
                            <m:ctrlPr>
                              <w:rPr>
                                <w:rFonts w:ascii="Cambria Math" w:hAnsi="Cambria Math" w:cs="Times New Roman"/>
                                <w:sz w:val="20"/>
                                <w:szCs w:val="20"/>
                              </w:rPr>
                            </m:ctrlPr>
                          </m:naryPr>
                          <m:sub/>
                          <m:sup/>
                          <m:e>
                            <m:sSub>
                              <m:sSubPr>
                                <m:ctrlPr>
                                  <w:rPr>
                                    <w:rFonts w:ascii="Cambria Math" w:hAnsi="Cambria Math" w:cs="Times New Roman"/>
                                    <w:sz w:val="20"/>
                                    <w:szCs w:val="20"/>
                                  </w:rPr>
                                </m:ctrlPr>
                              </m:sSubPr>
                              <m:e>
                                <m:r>
                                  <m:rPr>
                                    <m:sty m:val="p"/>
                                  </m:rPr>
                                  <w:rPr>
                                    <w:rFonts w:ascii="Cambria Math" w:hAnsi="Cambria Math" w:cs="Times New Roman"/>
                                    <w:sz w:val="20"/>
                                    <w:szCs w:val="20"/>
                                  </w:rPr>
                                  <m:t>v</m:t>
                                </m:r>
                              </m:e>
                              <m:sub>
                                <m:r>
                                  <w:rPr>
                                    <w:rFonts w:ascii="Cambria Math" w:hAnsi="Cambria Math" w:cs="Times New Roman"/>
                                    <w:sz w:val="20"/>
                                    <w:szCs w:val="20"/>
                                  </w:rPr>
                                  <m:t>ATP</m:t>
                                </m:r>
                              </m:sub>
                            </m:sSub>
                          </m:e>
                        </m:nary>
                      </m:num>
                      <m:den>
                        <m:nary>
                          <m:naryPr>
                            <m:chr m:val="∑"/>
                            <m:limLoc m:val="undOvr"/>
                            <m:ctrlPr>
                              <w:rPr>
                                <w:rFonts w:ascii="Cambria Math" w:hAnsi="Cambria Math" w:cs="Times New Roman"/>
                                <w:sz w:val="20"/>
                                <w:szCs w:val="20"/>
                              </w:rPr>
                            </m:ctrlPr>
                          </m:naryPr>
                          <m:sub>
                            <m:r>
                              <w:rPr>
                                <w:rFonts w:ascii="Cambria Math" w:hAnsi="Cambria Math" w:cs="Times New Roman"/>
                                <w:sz w:val="20"/>
                                <w:szCs w:val="20"/>
                              </w:rPr>
                              <m:t>n=1</m:t>
                            </m:r>
                          </m:sub>
                          <m:sup>
                            <m:r>
                              <w:rPr>
                                <w:rFonts w:ascii="Cambria Math" w:hAnsi="Cambria Math" w:cs="Times New Roman"/>
                                <w:sz w:val="20"/>
                                <w:szCs w:val="20"/>
                              </w:rPr>
                              <m:t>j</m:t>
                            </m:r>
                          </m:sup>
                          <m:e>
                            <m:sSub>
                              <m:sSubPr>
                                <m:ctrlPr>
                                  <w:rPr>
                                    <w:rFonts w:ascii="Cambria Math" w:hAnsi="Cambria Math" w:cs="Times New Roman"/>
                                    <w:sz w:val="20"/>
                                    <w:szCs w:val="20"/>
                                  </w:rPr>
                                </m:ctrlPr>
                              </m:sSubPr>
                              <m:e>
                                <m:r>
                                  <w:rPr>
                                    <w:rFonts w:ascii="Cambria Math" w:hAnsi="Cambria Math" w:cs="Times New Roman"/>
                                    <w:sz w:val="20"/>
                                    <w:szCs w:val="20"/>
                                  </w:rPr>
                                  <m:t>v</m:t>
                                </m:r>
                              </m:e>
                              <m:sub>
                                <m:r>
                                  <w:rPr>
                                    <w:rFonts w:ascii="Cambria Math" w:hAnsi="Cambria Math" w:cs="Times New Roman"/>
                                    <w:sz w:val="20"/>
                                    <w:szCs w:val="20"/>
                                  </w:rPr>
                                  <m:t>n</m:t>
                                </m:r>
                              </m:sub>
                            </m:sSub>
                          </m:e>
                        </m:nary>
                      </m:den>
                    </m:f>
                  </m:e>
                </m:d>
              </m:oMath>
            </m:oMathPara>
          </w:p>
        </w:tc>
      </w:tr>
    </w:tbl>
    <w:p w:rsidR="00A53157" w:rsidRDefault="00A53157" w:rsidP="00A53157">
      <w:pPr>
        <w:spacing w:after="0" w:line="240" w:lineRule="atLeast"/>
        <w:jc w:val="both"/>
        <w:rPr>
          <w:rFonts w:ascii="Palatino Linotype" w:hAnsi="Palatino Linotype" w:cs="Times New Roman"/>
          <w:sz w:val="20"/>
          <w:szCs w:val="20"/>
        </w:rPr>
      </w:pPr>
    </w:p>
    <w:p w:rsidR="00A17C8F" w:rsidRDefault="00A17C8F" w:rsidP="00A53157">
      <w:pPr>
        <w:spacing w:after="0" w:line="240" w:lineRule="atLeast"/>
        <w:jc w:val="both"/>
        <w:rPr>
          <w:rFonts w:ascii="Palatino Linotype" w:hAnsi="Palatino Linotype" w:cs="Times New Roman"/>
          <w:sz w:val="20"/>
          <w:szCs w:val="20"/>
        </w:rPr>
      </w:pPr>
      <w:r>
        <w:rPr>
          <w:rFonts w:ascii="Palatino Linotype" w:hAnsi="Palatino Linotype" w:cs="Times New Roman" w:hint="eastAsia"/>
          <w:sz w:val="20"/>
          <w:szCs w:val="20"/>
        </w:rPr>
        <w:t>N</w:t>
      </w:r>
      <w:r>
        <w:rPr>
          <w:rFonts w:ascii="Palatino Linotype" w:hAnsi="Palatino Linotype" w:cs="Times New Roman"/>
          <w:sz w:val="20"/>
          <w:szCs w:val="20"/>
        </w:rPr>
        <w:t>omenclature</w:t>
      </w:r>
    </w:p>
    <w:p w:rsidR="004806DF" w:rsidRDefault="004806DF" w:rsidP="00A53157">
      <w:pPr>
        <w:spacing w:after="0" w:line="240" w:lineRule="atLeast"/>
        <w:jc w:val="both"/>
        <w:rPr>
          <w:rFonts w:ascii="Palatino Linotype" w:hAnsi="Palatino Linotype" w:cs="Times New Roman"/>
          <w:sz w:val="20"/>
          <w:szCs w:val="20"/>
        </w:rPr>
      </w:pPr>
    </w:p>
    <w:p w:rsidR="00A53157" w:rsidRPr="008F4B40" w:rsidRDefault="00A53157" w:rsidP="00A53157">
      <w:pPr>
        <w:spacing w:after="0"/>
        <w:rPr>
          <w:rFonts w:ascii="Palatino Linotype" w:hAnsi="Palatino Linotype" w:cs="Times New Roman"/>
          <w:b/>
          <w:sz w:val="20"/>
          <w:szCs w:val="20"/>
        </w:rPr>
      </w:pPr>
      <w:r w:rsidRPr="008F4B40">
        <w:rPr>
          <w:rFonts w:ascii="Palatino Linotype" w:hAnsi="Palatino Linotype" w:cs="Times New Roman"/>
          <w:b/>
          <w:sz w:val="20"/>
          <w:szCs w:val="20"/>
        </w:rPr>
        <w:lastRenderedPageBreak/>
        <w:t>References</w:t>
      </w:r>
    </w:p>
    <w:p w:rsidR="004806DF" w:rsidRPr="004806DF" w:rsidRDefault="00A53157" w:rsidP="004806DF">
      <w:pPr>
        <w:autoSpaceDE w:val="0"/>
        <w:autoSpaceDN w:val="0"/>
        <w:adjustRightInd w:val="0"/>
        <w:spacing w:after="0" w:line="240" w:lineRule="atLeast"/>
        <w:ind w:left="640" w:hanging="640"/>
        <w:rPr>
          <w:rFonts w:ascii="Palatino Linotype" w:hAnsi="Palatino Linotype" w:cs="Times New Roman"/>
          <w:noProof/>
          <w:sz w:val="20"/>
          <w:szCs w:val="24"/>
        </w:rPr>
      </w:pPr>
      <w:r>
        <w:rPr>
          <w:rFonts w:ascii="Palatino Linotype" w:hAnsi="Palatino Linotype" w:cs="Times New Roman"/>
          <w:sz w:val="20"/>
          <w:szCs w:val="20"/>
        </w:rPr>
        <w:fldChar w:fldCharType="begin" w:fldLock="1"/>
      </w:r>
      <w:r>
        <w:rPr>
          <w:rFonts w:ascii="Palatino Linotype" w:hAnsi="Palatino Linotype" w:cs="Times New Roman"/>
          <w:sz w:val="20"/>
          <w:szCs w:val="20"/>
        </w:rPr>
        <w:instrText xml:space="preserve">ADDIN Mendeley Bibliography CSL_BIBLIOGRAPHY </w:instrText>
      </w:r>
      <w:r>
        <w:rPr>
          <w:rFonts w:ascii="Palatino Linotype" w:hAnsi="Palatino Linotype" w:cs="Times New Roman"/>
          <w:sz w:val="20"/>
          <w:szCs w:val="20"/>
        </w:rPr>
        <w:fldChar w:fldCharType="separate"/>
      </w:r>
      <w:r w:rsidR="004806DF" w:rsidRPr="004806DF">
        <w:rPr>
          <w:rFonts w:ascii="Palatino Linotype" w:hAnsi="Palatino Linotype" w:cs="Times New Roman"/>
          <w:noProof/>
          <w:sz w:val="20"/>
          <w:szCs w:val="24"/>
        </w:rPr>
        <w:t xml:space="preserve">1. </w:t>
      </w:r>
      <w:r w:rsidR="004806DF" w:rsidRPr="004806DF">
        <w:rPr>
          <w:rFonts w:ascii="Palatino Linotype" w:hAnsi="Palatino Linotype" w:cs="Times New Roman"/>
          <w:noProof/>
          <w:sz w:val="20"/>
          <w:szCs w:val="24"/>
        </w:rPr>
        <w:tab/>
        <w:t xml:space="preserve">Angeles-Martinez, L.; Theodoropoulos, C. Estimation of flux distribution in metabolic networks accounting for thermodynamic constraints: The effect of equilibrium vs. blocked reactions. </w:t>
      </w:r>
      <w:r w:rsidR="004806DF" w:rsidRPr="004806DF">
        <w:rPr>
          <w:rFonts w:ascii="Palatino Linotype" w:hAnsi="Palatino Linotype" w:cs="Times New Roman"/>
          <w:i/>
          <w:iCs/>
          <w:noProof/>
          <w:sz w:val="20"/>
          <w:szCs w:val="24"/>
        </w:rPr>
        <w:t>Biochem. Eng. J.</w:t>
      </w:r>
      <w:r w:rsidR="004806DF" w:rsidRPr="004806DF">
        <w:rPr>
          <w:rFonts w:ascii="Palatino Linotype" w:hAnsi="Palatino Linotype" w:cs="Times New Roman"/>
          <w:noProof/>
          <w:sz w:val="20"/>
          <w:szCs w:val="24"/>
        </w:rPr>
        <w:t xml:space="preserve"> </w:t>
      </w:r>
      <w:r w:rsidR="004806DF" w:rsidRPr="004806DF">
        <w:rPr>
          <w:rFonts w:ascii="Palatino Linotype" w:hAnsi="Palatino Linotype" w:cs="Times New Roman"/>
          <w:b/>
          <w:bCs/>
          <w:noProof/>
          <w:sz w:val="20"/>
          <w:szCs w:val="24"/>
        </w:rPr>
        <w:t>2016</w:t>
      </w:r>
      <w:r w:rsidR="004806DF" w:rsidRPr="004806DF">
        <w:rPr>
          <w:rFonts w:ascii="Palatino Linotype" w:hAnsi="Palatino Linotype" w:cs="Times New Roman"/>
          <w:noProof/>
          <w:sz w:val="20"/>
          <w:szCs w:val="24"/>
        </w:rPr>
        <w:t xml:space="preserve">, </w:t>
      </w:r>
      <w:r w:rsidR="004806DF" w:rsidRPr="004806DF">
        <w:rPr>
          <w:rFonts w:ascii="Palatino Linotype" w:hAnsi="Palatino Linotype" w:cs="Times New Roman"/>
          <w:i/>
          <w:iCs/>
          <w:noProof/>
          <w:sz w:val="20"/>
          <w:szCs w:val="24"/>
        </w:rPr>
        <w:t>105</w:t>
      </w:r>
      <w:r w:rsidR="004806DF" w:rsidRPr="004806DF">
        <w:rPr>
          <w:rFonts w:ascii="Palatino Linotype" w:hAnsi="Palatino Linotype" w:cs="Times New Roman"/>
          <w:noProof/>
          <w:sz w:val="20"/>
          <w:szCs w:val="24"/>
        </w:rPr>
        <w:t>, 347–357.</w:t>
      </w:r>
    </w:p>
    <w:p w:rsidR="004806DF" w:rsidRPr="004806DF" w:rsidRDefault="004806DF" w:rsidP="004806DF">
      <w:pPr>
        <w:autoSpaceDE w:val="0"/>
        <w:autoSpaceDN w:val="0"/>
        <w:adjustRightInd w:val="0"/>
        <w:spacing w:after="0" w:line="240" w:lineRule="atLeast"/>
        <w:ind w:left="640" w:hanging="640"/>
        <w:rPr>
          <w:rFonts w:ascii="Palatino Linotype" w:hAnsi="Palatino Linotype" w:cs="Times New Roman"/>
          <w:noProof/>
          <w:sz w:val="20"/>
          <w:szCs w:val="24"/>
        </w:rPr>
      </w:pPr>
      <w:r w:rsidRPr="004806DF">
        <w:rPr>
          <w:rFonts w:ascii="Palatino Linotype" w:hAnsi="Palatino Linotype" w:cs="Times New Roman"/>
          <w:noProof/>
          <w:sz w:val="20"/>
          <w:szCs w:val="24"/>
        </w:rPr>
        <w:t xml:space="preserve">2. </w:t>
      </w:r>
      <w:r w:rsidRPr="004806DF">
        <w:rPr>
          <w:rFonts w:ascii="Palatino Linotype" w:hAnsi="Palatino Linotype" w:cs="Times New Roman"/>
          <w:noProof/>
          <w:sz w:val="20"/>
          <w:szCs w:val="24"/>
        </w:rPr>
        <w:tab/>
        <w:t xml:space="preserve">Henry, C.S.; Broadbelt, L.J.; Hatzimanikatis, V. Thermodynamics-Based Metabolic Flux Analysis. </w:t>
      </w:r>
      <w:r w:rsidRPr="004806DF">
        <w:rPr>
          <w:rFonts w:ascii="Palatino Linotype" w:hAnsi="Palatino Linotype" w:cs="Times New Roman"/>
          <w:i/>
          <w:iCs/>
          <w:noProof/>
          <w:sz w:val="20"/>
          <w:szCs w:val="24"/>
        </w:rPr>
        <w:t>Biophys. J.</w:t>
      </w:r>
      <w:r w:rsidRPr="004806DF">
        <w:rPr>
          <w:rFonts w:ascii="Palatino Linotype" w:hAnsi="Palatino Linotype" w:cs="Times New Roman"/>
          <w:noProof/>
          <w:sz w:val="20"/>
          <w:szCs w:val="24"/>
        </w:rPr>
        <w:t xml:space="preserve"> </w:t>
      </w:r>
      <w:r w:rsidRPr="004806DF">
        <w:rPr>
          <w:rFonts w:ascii="Palatino Linotype" w:hAnsi="Palatino Linotype" w:cs="Times New Roman"/>
          <w:b/>
          <w:bCs/>
          <w:noProof/>
          <w:sz w:val="20"/>
          <w:szCs w:val="24"/>
        </w:rPr>
        <w:t>2007</w:t>
      </w:r>
      <w:r w:rsidRPr="004806DF">
        <w:rPr>
          <w:rFonts w:ascii="Palatino Linotype" w:hAnsi="Palatino Linotype" w:cs="Times New Roman"/>
          <w:noProof/>
          <w:sz w:val="20"/>
          <w:szCs w:val="24"/>
        </w:rPr>
        <w:t xml:space="preserve">, </w:t>
      </w:r>
      <w:r w:rsidRPr="004806DF">
        <w:rPr>
          <w:rFonts w:ascii="Palatino Linotype" w:hAnsi="Palatino Linotype" w:cs="Times New Roman"/>
          <w:i/>
          <w:iCs/>
          <w:noProof/>
          <w:sz w:val="20"/>
          <w:szCs w:val="24"/>
        </w:rPr>
        <w:t>92</w:t>
      </w:r>
      <w:r w:rsidRPr="004806DF">
        <w:rPr>
          <w:rFonts w:ascii="Palatino Linotype" w:hAnsi="Palatino Linotype" w:cs="Times New Roman"/>
          <w:noProof/>
          <w:sz w:val="20"/>
          <w:szCs w:val="24"/>
        </w:rPr>
        <w:t>, 1792–1805.</w:t>
      </w:r>
    </w:p>
    <w:p w:rsidR="004806DF" w:rsidRPr="004806DF" w:rsidRDefault="004806DF" w:rsidP="004806DF">
      <w:pPr>
        <w:autoSpaceDE w:val="0"/>
        <w:autoSpaceDN w:val="0"/>
        <w:adjustRightInd w:val="0"/>
        <w:spacing w:after="0" w:line="240" w:lineRule="atLeast"/>
        <w:ind w:left="640" w:hanging="640"/>
        <w:rPr>
          <w:rFonts w:ascii="Palatino Linotype" w:hAnsi="Palatino Linotype" w:cs="Times New Roman"/>
          <w:noProof/>
          <w:sz w:val="20"/>
          <w:szCs w:val="24"/>
        </w:rPr>
      </w:pPr>
      <w:r w:rsidRPr="004806DF">
        <w:rPr>
          <w:rFonts w:ascii="Palatino Linotype" w:hAnsi="Palatino Linotype" w:cs="Times New Roman"/>
          <w:noProof/>
          <w:sz w:val="20"/>
          <w:szCs w:val="24"/>
        </w:rPr>
        <w:t xml:space="preserve">3. </w:t>
      </w:r>
      <w:r w:rsidRPr="004806DF">
        <w:rPr>
          <w:rFonts w:ascii="Palatino Linotype" w:hAnsi="Palatino Linotype" w:cs="Times New Roman"/>
          <w:noProof/>
          <w:sz w:val="20"/>
          <w:szCs w:val="24"/>
        </w:rPr>
        <w:tab/>
        <w:t xml:space="preserve">Tepper, N.; Noor, E.; Amador-Noguez, D.; Haraldsd??ttir, H.S.; Milo, R.; Rabinowitz, J.; Liebermeister, W.; Shlomi, T. Steady-State Metabolite Concentrations Reflect a Balance between Maximizing Enzyme Efficiency and Minimizing Total Metabolite Load. </w:t>
      </w:r>
      <w:r w:rsidRPr="004806DF">
        <w:rPr>
          <w:rFonts w:ascii="Palatino Linotype" w:hAnsi="Palatino Linotype" w:cs="Times New Roman"/>
          <w:i/>
          <w:iCs/>
          <w:noProof/>
          <w:sz w:val="20"/>
          <w:szCs w:val="24"/>
        </w:rPr>
        <w:t>PLoS One</w:t>
      </w:r>
      <w:r w:rsidRPr="004806DF">
        <w:rPr>
          <w:rFonts w:ascii="Palatino Linotype" w:hAnsi="Palatino Linotype" w:cs="Times New Roman"/>
          <w:noProof/>
          <w:sz w:val="20"/>
          <w:szCs w:val="24"/>
        </w:rPr>
        <w:t xml:space="preserve"> </w:t>
      </w:r>
      <w:r w:rsidRPr="004806DF">
        <w:rPr>
          <w:rFonts w:ascii="Palatino Linotype" w:hAnsi="Palatino Linotype" w:cs="Times New Roman"/>
          <w:b/>
          <w:bCs/>
          <w:noProof/>
          <w:sz w:val="20"/>
          <w:szCs w:val="24"/>
        </w:rPr>
        <w:t>2013</w:t>
      </w:r>
      <w:r w:rsidRPr="004806DF">
        <w:rPr>
          <w:rFonts w:ascii="Palatino Linotype" w:hAnsi="Palatino Linotype" w:cs="Times New Roman"/>
          <w:noProof/>
          <w:sz w:val="20"/>
          <w:szCs w:val="24"/>
        </w:rPr>
        <w:t xml:space="preserve">, </w:t>
      </w:r>
      <w:r w:rsidRPr="004806DF">
        <w:rPr>
          <w:rFonts w:ascii="Palatino Linotype" w:hAnsi="Palatino Linotype" w:cs="Times New Roman"/>
          <w:i/>
          <w:iCs/>
          <w:noProof/>
          <w:sz w:val="20"/>
          <w:szCs w:val="24"/>
        </w:rPr>
        <w:t>8</w:t>
      </w:r>
      <w:r w:rsidRPr="004806DF">
        <w:rPr>
          <w:rFonts w:ascii="Palatino Linotype" w:hAnsi="Palatino Linotype" w:cs="Times New Roman"/>
          <w:noProof/>
          <w:sz w:val="20"/>
          <w:szCs w:val="24"/>
        </w:rPr>
        <w:t>, 1–13.</w:t>
      </w:r>
    </w:p>
    <w:p w:rsidR="004806DF" w:rsidRPr="004806DF" w:rsidRDefault="004806DF" w:rsidP="004806DF">
      <w:pPr>
        <w:autoSpaceDE w:val="0"/>
        <w:autoSpaceDN w:val="0"/>
        <w:adjustRightInd w:val="0"/>
        <w:spacing w:after="0" w:line="240" w:lineRule="atLeast"/>
        <w:ind w:left="640" w:hanging="640"/>
        <w:rPr>
          <w:rFonts w:ascii="Palatino Linotype" w:hAnsi="Palatino Linotype" w:cs="Times New Roman"/>
          <w:noProof/>
          <w:sz w:val="20"/>
          <w:szCs w:val="24"/>
        </w:rPr>
      </w:pPr>
      <w:r w:rsidRPr="004806DF">
        <w:rPr>
          <w:rFonts w:ascii="Palatino Linotype" w:hAnsi="Palatino Linotype" w:cs="Times New Roman"/>
          <w:noProof/>
          <w:sz w:val="20"/>
          <w:szCs w:val="24"/>
        </w:rPr>
        <w:t xml:space="preserve">4. </w:t>
      </w:r>
      <w:r w:rsidRPr="004806DF">
        <w:rPr>
          <w:rFonts w:ascii="Palatino Linotype" w:hAnsi="Palatino Linotype" w:cs="Times New Roman"/>
          <w:noProof/>
          <w:sz w:val="20"/>
          <w:szCs w:val="24"/>
        </w:rPr>
        <w:tab/>
        <w:t xml:space="preserve">Jankowski, M.D.; Henry, C.S.; Broadbelt, L.J.; Hatzimanikatis, V. Group contribution method for thermodynamic analysis of complex metabolic networks. </w:t>
      </w:r>
      <w:r w:rsidRPr="004806DF">
        <w:rPr>
          <w:rFonts w:ascii="Palatino Linotype" w:hAnsi="Palatino Linotype" w:cs="Times New Roman"/>
          <w:i/>
          <w:iCs/>
          <w:noProof/>
          <w:sz w:val="20"/>
          <w:szCs w:val="24"/>
        </w:rPr>
        <w:t>Biophys. J.</w:t>
      </w:r>
      <w:r w:rsidRPr="004806DF">
        <w:rPr>
          <w:rFonts w:ascii="Palatino Linotype" w:hAnsi="Palatino Linotype" w:cs="Times New Roman"/>
          <w:noProof/>
          <w:sz w:val="20"/>
          <w:szCs w:val="24"/>
        </w:rPr>
        <w:t xml:space="preserve"> </w:t>
      </w:r>
      <w:r w:rsidRPr="004806DF">
        <w:rPr>
          <w:rFonts w:ascii="Palatino Linotype" w:hAnsi="Palatino Linotype" w:cs="Times New Roman"/>
          <w:b/>
          <w:bCs/>
          <w:noProof/>
          <w:sz w:val="20"/>
          <w:szCs w:val="24"/>
        </w:rPr>
        <w:t>2008</w:t>
      </w:r>
      <w:r w:rsidRPr="004806DF">
        <w:rPr>
          <w:rFonts w:ascii="Palatino Linotype" w:hAnsi="Palatino Linotype" w:cs="Times New Roman"/>
          <w:noProof/>
          <w:sz w:val="20"/>
          <w:szCs w:val="24"/>
        </w:rPr>
        <w:t xml:space="preserve">, </w:t>
      </w:r>
      <w:r w:rsidRPr="004806DF">
        <w:rPr>
          <w:rFonts w:ascii="Palatino Linotype" w:hAnsi="Palatino Linotype" w:cs="Times New Roman"/>
          <w:i/>
          <w:iCs/>
          <w:noProof/>
          <w:sz w:val="20"/>
          <w:szCs w:val="24"/>
        </w:rPr>
        <w:t>95</w:t>
      </w:r>
      <w:r w:rsidRPr="004806DF">
        <w:rPr>
          <w:rFonts w:ascii="Palatino Linotype" w:hAnsi="Palatino Linotype" w:cs="Times New Roman"/>
          <w:noProof/>
          <w:sz w:val="20"/>
          <w:szCs w:val="24"/>
        </w:rPr>
        <w:t>, 1487–1499.</w:t>
      </w:r>
    </w:p>
    <w:p w:rsidR="004806DF" w:rsidRPr="004806DF" w:rsidRDefault="004806DF" w:rsidP="004806DF">
      <w:pPr>
        <w:autoSpaceDE w:val="0"/>
        <w:autoSpaceDN w:val="0"/>
        <w:adjustRightInd w:val="0"/>
        <w:spacing w:after="0" w:line="240" w:lineRule="atLeast"/>
        <w:ind w:left="640" w:hanging="640"/>
        <w:rPr>
          <w:rFonts w:ascii="Palatino Linotype" w:hAnsi="Palatino Linotype" w:cs="Times New Roman"/>
          <w:noProof/>
          <w:sz w:val="20"/>
          <w:szCs w:val="24"/>
        </w:rPr>
      </w:pPr>
      <w:r w:rsidRPr="004806DF">
        <w:rPr>
          <w:rFonts w:ascii="Palatino Linotype" w:hAnsi="Palatino Linotype" w:cs="Times New Roman"/>
          <w:noProof/>
          <w:sz w:val="20"/>
          <w:szCs w:val="24"/>
        </w:rPr>
        <w:t xml:space="preserve">5. </w:t>
      </w:r>
      <w:r w:rsidRPr="004806DF">
        <w:rPr>
          <w:rFonts w:ascii="Palatino Linotype" w:hAnsi="Palatino Linotype" w:cs="Times New Roman"/>
          <w:noProof/>
          <w:sz w:val="20"/>
          <w:szCs w:val="24"/>
        </w:rPr>
        <w:tab/>
        <w:t xml:space="preserve">Tajparast, M.; Frigon, D. Genome-scale metabolic model of Rhodococcus jostii RHA1 (iMT1174) to study the accumulation of storage compounds during nitrogen-limited condition. </w:t>
      </w:r>
      <w:r w:rsidRPr="004806DF">
        <w:rPr>
          <w:rFonts w:ascii="Palatino Linotype" w:hAnsi="Palatino Linotype" w:cs="Times New Roman"/>
          <w:i/>
          <w:iCs/>
          <w:noProof/>
          <w:sz w:val="20"/>
          <w:szCs w:val="24"/>
        </w:rPr>
        <w:t>BMC Syst. Biol.</w:t>
      </w:r>
      <w:r w:rsidRPr="004806DF">
        <w:rPr>
          <w:rFonts w:ascii="Palatino Linotype" w:hAnsi="Palatino Linotype" w:cs="Times New Roman"/>
          <w:noProof/>
          <w:sz w:val="20"/>
          <w:szCs w:val="24"/>
        </w:rPr>
        <w:t xml:space="preserve"> </w:t>
      </w:r>
      <w:r w:rsidRPr="004806DF">
        <w:rPr>
          <w:rFonts w:ascii="Palatino Linotype" w:hAnsi="Palatino Linotype" w:cs="Times New Roman"/>
          <w:b/>
          <w:bCs/>
          <w:noProof/>
          <w:sz w:val="20"/>
          <w:szCs w:val="24"/>
        </w:rPr>
        <w:t>2015</w:t>
      </w:r>
      <w:r w:rsidRPr="004806DF">
        <w:rPr>
          <w:rFonts w:ascii="Palatino Linotype" w:hAnsi="Palatino Linotype" w:cs="Times New Roman"/>
          <w:noProof/>
          <w:sz w:val="20"/>
          <w:szCs w:val="24"/>
        </w:rPr>
        <w:t xml:space="preserve">, </w:t>
      </w:r>
      <w:r w:rsidRPr="004806DF">
        <w:rPr>
          <w:rFonts w:ascii="Palatino Linotype" w:hAnsi="Palatino Linotype" w:cs="Times New Roman"/>
          <w:i/>
          <w:iCs/>
          <w:noProof/>
          <w:sz w:val="20"/>
          <w:szCs w:val="24"/>
        </w:rPr>
        <w:t>9</w:t>
      </w:r>
      <w:r w:rsidRPr="004806DF">
        <w:rPr>
          <w:rFonts w:ascii="Palatino Linotype" w:hAnsi="Palatino Linotype" w:cs="Times New Roman"/>
          <w:noProof/>
          <w:sz w:val="20"/>
          <w:szCs w:val="24"/>
        </w:rPr>
        <w:t>, 43.</w:t>
      </w:r>
    </w:p>
    <w:p w:rsidR="004806DF" w:rsidRPr="004806DF" w:rsidRDefault="004806DF" w:rsidP="004806DF">
      <w:pPr>
        <w:autoSpaceDE w:val="0"/>
        <w:autoSpaceDN w:val="0"/>
        <w:adjustRightInd w:val="0"/>
        <w:spacing w:after="0" w:line="240" w:lineRule="atLeast"/>
        <w:ind w:left="640" w:hanging="640"/>
        <w:rPr>
          <w:rFonts w:ascii="Palatino Linotype" w:hAnsi="Palatino Linotype" w:cs="Times New Roman"/>
          <w:noProof/>
          <w:sz w:val="20"/>
          <w:szCs w:val="24"/>
        </w:rPr>
      </w:pPr>
      <w:r w:rsidRPr="004806DF">
        <w:rPr>
          <w:rFonts w:ascii="Palatino Linotype" w:hAnsi="Palatino Linotype" w:cs="Times New Roman"/>
          <w:noProof/>
          <w:sz w:val="20"/>
          <w:szCs w:val="24"/>
        </w:rPr>
        <w:t xml:space="preserve">6. </w:t>
      </w:r>
      <w:r w:rsidRPr="004806DF">
        <w:rPr>
          <w:rFonts w:ascii="Palatino Linotype" w:hAnsi="Palatino Linotype" w:cs="Times New Roman"/>
          <w:noProof/>
          <w:sz w:val="20"/>
          <w:szCs w:val="24"/>
        </w:rPr>
        <w:tab/>
        <w:t xml:space="preserve">Knorr, A.L.; Jain, R.; Srivastava, R. Bayesian-based selection of metabolic objective functions. </w:t>
      </w:r>
      <w:r w:rsidRPr="004806DF">
        <w:rPr>
          <w:rFonts w:ascii="Palatino Linotype" w:hAnsi="Palatino Linotype" w:cs="Times New Roman"/>
          <w:i/>
          <w:iCs/>
          <w:noProof/>
          <w:sz w:val="20"/>
          <w:szCs w:val="24"/>
        </w:rPr>
        <w:t>Bioinformatics</w:t>
      </w:r>
      <w:r w:rsidRPr="004806DF">
        <w:rPr>
          <w:rFonts w:ascii="Palatino Linotype" w:hAnsi="Palatino Linotype" w:cs="Times New Roman"/>
          <w:noProof/>
          <w:sz w:val="20"/>
          <w:szCs w:val="24"/>
        </w:rPr>
        <w:t xml:space="preserve"> </w:t>
      </w:r>
      <w:r w:rsidRPr="004806DF">
        <w:rPr>
          <w:rFonts w:ascii="Palatino Linotype" w:hAnsi="Palatino Linotype" w:cs="Times New Roman"/>
          <w:b/>
          <w:bCs/>
          <w:noProof/>
          <w:sz w:val="20"/>
          <w:szCs w:val="24"/>
        </w:rPr>
        <w:t>2007</w:t>
      </w:r>
      <w:r w:rsidRPr="004806DF">
        <w:rPr>
          <w:rFonts w:ascii="Palatino Linotype" w:hAnsi="Palatino Linotype" w:cs="Times New Roman"/>
          <w:noProof/>
          <w:sz w:val="20"/>
          <w:szCs w:val="24"/>
        </w:rPr>
        <w:t xml:space="preserve">, </w:t>
      </w:r>
      <w:r w:rsidRPr="004806DF">
        <w:rPr>
          <w:rFonts w:ascii="Palatino Linotype" w:hAnsi="Palatino Linotype" w:cs="Times New Roman"/>
          <w:i/>
          <w:iCs/>
          <w:noProof/>
          <w:sz w:val="20"/>
          <w:szCs w:val="24"/>
        </w:rPr>
        <w:t>23</w:t>
      </w:r>
      <w:r w:rsidRPr="004806DF">
        <w:rPr>
          <w:rFonts w:ascii="Palatino Linotype" w:hAnsi="Palatino Linotype" w:cs="Times New Roman"/>
          <w:noProof/>
          <w:sz w:val="20"/>
          <w:szCs w:val="24"/>
        </w:rPr>
        <w:t>, 351–357.</w:t>
      </w:r>
    </w:p>
    <w:p w:rsidR="004806DF" w:rsidRPr="004806DF" w:rsidRDefault="004806DF" w:rsidP="004806DF">
      <w:pPr>
        <w:autoSpaceDE w:val="0"/>
        <w:autoSpaceDN w:val="0"/>
        <w:adjustRightInd w:val="0"/>
        <w:spacing w:after="0" w:line="240" w:lineRule="atLeast"/>
        <w:ind w:left="640" w:hanging="640"/>
        <w:rPr>
          <w:rFonts w:ascii="Palatino Linotype" w:hAnsi="Palatino Linotype" w:cs="Times New Roman"/>
          <w:noProof/>
          <w:sz w:val="20"/>
          <w:szCs w:val="24"/>
        </w:rPr>
      </w:pPr>
      <w:r w:rsidRPr="004806DF">
        <w:rPr>
          <w:rFonts w:ascii="Palatino Linotype" w:hAnsi="Palatino Linotype" w:cs="Times New Roman"/>
          <w:noProof/>
          <w:sz w:val="20"/>
          <w:szCs w:val="24"/>
        </w:rPr>
        <w:t xml:space="preserve">7. </w:t>
      </w:r>
      <w:r w:rsidRPr="004806DF">
        <w:rPr>
          <w:rFonts w:ascii="Palatino Linotype" w:hAnsi="Palatino Linotype" w:cs="Times New Roman"/>
          <w:noProof/>
          <w:sz w:val="20"/>
          <w:szCs w:val="24"/>
        </w:rPr>
        <w:tab/>
        <w:t xml:space="preserve">van Gulik, W.M.; Heijnen, J.J. A metabolic network stoichiometry analysis of microbial growth and product formation. </w:t>
      </w:r>
      <w:r w:rsidRPr="004806DF">
        <w:rPr>
          <w:rFonts w:ascii="Palatino Linotype" w:hAnsi="Palatino Linotype" w:cs="Times New Roman"/>
          <w:i/>
          <w:iCs/>
          <w:noProof/>
          <w:sz w:val="20"/>
          <w:szCs w:val="24"/>
        </w:rPr>
        <w:t>Biotechnol. Bioeng.</w:t>
      </w:r>
      <w:r w:rsidRPr="004806DF">
        <w:rPr>
          <w:rFonts w:ascii="Palatino Linotype" w:hAnsi="Palatino Linotype" w:cs="Times New Roman"/>
          <w:noProof/>
          <w:sz w:val="20"/>
          <w:szCs w:val="24"/>
        </w:rPr>
        <w:t xml:space="preserve"> </w:t>
      </w:r>
      <w:r w:rsidRPr="004806DF">
        <w:rPr>
          <w:rFonts w:ascii="Palatino Linotype" w:hAnsi="Palatino Linotype" w:cs="Times New Roman"/>
          <w:b/>
          <w:bCs/>
          <w:noProof/>
          <w:sz w:val="20"/>
          <w:szCs w:val="24"/>
        </w:rPr>
        <w:t>1995</w:t>
      </w:r>
      <w:r w:rsidRPr="004806DF">
        <w:rPr>
          <w:rFonts w:ascii="Palatino Linotype" w:hAnsi="Palatino Linotype" w:cs="Times New Roman"/>
          <w:noProof/>
          <w:sz w:val="20"/>
          <w:szCs w:val="24"/>
        </w:rPr>
        <w:t xml:space="preserve">, </w:t>
      </w:r>
      <w:r w:rsidRPr="004806DF">
        <w:rPr>
          <w:rFonts w:ascii="Palatino Linotype" w:hAnsi="Palatino Linotype" w:cs="Times New Roman"/>
          <w:i/>
          <w:iCs/>
          <w:noProof/>
          <w:sz w:val="20"/>
          <w:szCs w:val="24"/>
        </w:rPr>
        <w:t>48</w:t>
      </w:r>
      <w:r w:rsidRPr="004806DF">
        <w:rPr>
          <w:rFonts w:ascii="Palatino Linotype" w:hAnsi="Palatino Linotype" w:cs="Times New Roman"/>
          <w:noProof/>
          <w:sz w:val="20"/>
          <w:szCs w:val="24"/>
        </w:rPr>
        <w:t>, 681–698.</w:t>
      </w:r>
    </w:p>
    <w:p w:rsidR="004806DF" w:rsidRPr="004806DF" w:rsidRDefault="004806DF" w:rsidP="004806DF">
      <w:pPr>
        <w:autoSpaceDE w:val="0"/>
        <w:autoSpaceDN w:val="0"/>
        <w:adjustRightInd w:val="0"/>
        <w:spacing w:after="0" w:line="240" w:lineRule="atLeast"/>
        <w:ind w:left="640" w:hanging="640"/>
        <w:rPr>
          <w:rFonts w:ascii="Palatino Linotype" w:hAnsi="Palatino Linotype" w:cs="Times New Roman"/>
          <w:noProof/>
          <w:sz w:val="20"/>
          <w:szCs w:val="24"/>
        </w:rPr>
      </w:pPr>
      <w:r w:rsidRPr="004806DF">
        <w:rPr>
          <w:rFonts w:ascii="Palatino Linotype" w:hAnsi="Palatino Linotype" w:cs="Times New Roman"/>
          <w:noProof/>
          <w:sz w:val="20"/>
          <w:szCs w:val="24"/>
        </w:rPr>
        <w:t xml:space="preserve">8. </w:t>
      </w:r>
      <w:r w:rsidRPr="004806DF">
        <w:rPr>
          <w:rFonts w:ascii="Palatino Linotype" w:hAnsi="Palatino Linotype" w:cs="Times New Roman"/>
          <w:noProof/>
          <w:sz w:val="20"/>
          <w:szCs w:val="24"/>
        </w:rPr>
        <w:tab/>
        <w:t xml:space="preserve">Bordbar, A.; Monk, J.M.; King, Z.A.; Palsson, B.Ø. Constraint-based models predict metabolic and associated cellular functions. </w:t>
      </w:r>
      <w:r w:rsidRPr="004806DF">
        <w:rPr>
          <w:rFonts w:ascii="Palatino Linotype" w:hAnsi="Palatino Linotype" w:cs="Times New Roman"/>
          <w:i/>
          <w:iCs/>
          <w:noProof/>
          <w:sz w:val="20"/>
          <w:szCs w:val="24"/>
        </w:rPr>
        <w:t>Nat. Rev. Genet.</w:t>
      </w:r>
      <w:r w:rsidRPr="004806DF">
        <w:rPr>
          <w:rFonts w:ascii="Palatino Linotype" w:hAnsi="Palatino Linotype" w:cs="Times New Roman"/>
          <w:noProof/>
          <w:sz w:val="20"/>
          <w:szCs w:val="24"/>
        </w:rPr>
        <w:t xml:space="preserve"> </w:t>
      </w:r>
      <w:r w:rsidRPr="004806DF">
        <w:rPr>
          <w:rFonts w:ascii="Palatino Linotype" w:hAnsi="Palatino Linotype" w:cs="Times New Roman"/>
          <w:b/>
          <w:bCs/>
          <w:noProof/>
          <w:sz w:val="20"/>
          <w:szCs w:val="24"/>
        </w:rPr>
        <w:t>2014</w:t>
      </w:r>
      <w:r w:rsidRPr="004806DF">
        <w:rPr>
          <w:rFonts w:ascii="Palatino Linotype" w:hAnsi="Palatino Linotype" w:cs="Times New Roman"/>
          <w:noProof/>
          <w:sz w:val="20"/>
          <w:szCs w:val="24"/>
        </w:rPr>
        <w:t xml:space="preserve">, </w:t>
      </w:r>
      <w:r w:rsidRPr="004806DF">
        <w:rPr>
          <w:rFonts w:ascii="Palatino Linotype" w:hAnsi="Palatino Linotype" w:cs="Times New Roman"/>
          <w:i/>
          <w:iCs/>
          <w:noProof/>
          <w:sz w:val="20"/>
          <w:szCs w:val="24"/>
        </w:rPr>
        <w:t>15</w:t>
      </w:r>
      <w:r w:rsidRPr="004806DF">
        <w:rPr>
          <w:rFonts w:ascii="Palatino Linotype" w:hAnsi="Palatino Linotype" w:cs="Times New Roman"/>
          <w:noProof/>
          <w:sz w:val="20"/>
          <w:szCs w:val="24"/>
        </w:rPr>
        <w:t>, 107–120.</w:t>
      </w:r>
    </w:p>
    <w:p w:rsidR="004806DF" w:rsidRPr="004806DF" w:rsidRDefault="004806DF" w:rsidP="004806DF">
      <w:pPr>
        <w:autoSpaceDE w:val="0"/>
        <w:autoSpaceDN w:val="0"/>
        <w:adjustRightInd w:val="0"/>
        <w:spacing w:after="0" w:line="240" w:lineRule="atLeast"/>
        <w:ind w:left="640" w:hanging="640"/>
        <w:rPr>
          <w:rFonts w:ascii="Palatino Linotype" w:hAnsi="Palatino Linotype" w:cs="Times New Roman"/>
          <w:noProof/>
          <w:sz w:val="20"/>
          <w:szCs w:val="24"/>
        </w:rPr>
      </w:pPr>
      <w:r w:rsidRPr="004806DF">
        <w:rPr>
          <w:rFonts w:ascii="Palatino Linotype" w:hAnsi="Palatino Linotype" w:cs="Times New Roman"/>
          <w:noProof/>
          <w:sz w:val="20"/>
          <w:szCs w:val="24"/>
        </w:rPr>
        <w:t xml:space="preserve">9. </w:t>
      </w:r>
      <w:r w:rsidRPr="004806DF">
        <w:rPr>
          <w:rFonts w:ascii="Palatino Linotype" w:hAnsi="Palatino Linotype" w:cs="Times New Roman"/>
          <w:noProof/>
          <w:sz w:val="20"/>
          <w:szCs w:val="24"/>
        </w:rPr>
        <w:tab/>
        <w:t xml:space="preserve">Holzhütter, H.G. The principle of flux minimization and its application to estimate stationary fluxes in metabolic networks. </w:t>
      </w:r>
      <w:r w:rsidRPr="004806DF">
        <w:rPr>
          <w:rFonts w:ascii="Palatino Linotype" w:hAnsi="Palatino Linotype" w:cs="Times New Roman"/>
          <w:i/>
          <w:iCs/>
          <w:noProof/>
          <w:sz w:val="20"/>
          <w:szCs w:val="24"/>
        </w:rPr>
        <w:t>Eur. J. Biochem.</w:t>
      </w:r>
      <w:r w:rsidRPr="004806DF">
        <w:rPr>
          <w:rFonts w:ascii="Palatino Linotype" w:hAnsi="Palatino Linotype" w:cs="Times New Roman"/>
          <w:noProof/>
          <w:sz w:val="20"/>
          <w:szCs w:val="24"/>
        </w:rPr>
        <w:t xml:space="preserve"> </w:t>
      </w:r>
      <w:r w:rsidRPr="004806DF">
        <w:rPr>
          <w:rFonts w:ascii="Palatino Linotype" w:hAnsi="Palatino Linotype" w:cs="Times New Roman"/>
          <w:b/>
          <w:bCs/>
          <w:noProof/>
          <w:sz w:val="20"/>
          <w:szCs w:val="24"/>
        </w:rPr>
        <w:t>2004</w:t>
      </w:r>
      <w:r w:rsidRPr="004806DF">
        <w:rPr>
          <w:rFonts w:ascii="Palatino Linotype" w:hAnsi="Palatino Linotype" w:cs="Times New Roman"/>
          <w:noProof/>
          <w:sz w:val="20"/>
          <w:szCs w:val="24"/>
        </w:rPr>
        <w:t xml:space="preserve">, </w:t>
      </w:r>
      <w:r w:rsidRPr="004806DF">
        <w:rPr>
          <w:rFonts w:ascii="Palatino Linotype" w:hAnsi="Palatino Linotype" w:cs="Times New Roman"/>
          <w:i/>
          <w:iCs/>
          <w:noProof/>
          <w:sz w:val="20"/>
          <w:szCs w:val="24"/>
        </w:rPr>
        <w:t>271</w:t>
      </w:r>
      <w:r w:rsidRPr="004806DF">
        <w:rPr>
          <w:rFonts w:ascii="Palatino Linotype" w:hAnsi="Palatino Linotype" w:cs="Times New Roman"/>
          <w:noProof/>
          <w:sz w:val="20"/>
          <w:szCs w:val="24"/>
        </w:rPr>
        <w:t>, 2905–2922.</w:t>
      </w:r>
    </w:p>
    <w:p w:rsidR="004806DF" w:rsidRPr="004806DF" w:rsidRDefault="004806DF" w:rsidP="004806DF">
      <w:pPr>
        <w:autoSpaceDE w:val="0"/>
        <w:autoSpaceDN w:val="0"/>
        <w:adjustRightInd w:val="0"/>
        <w:spacing w:after="0" w:line="240" w:lineRule="atLeast"/>
        <w:ind w:left="640" w:hanging="640"/>
        <w:rPr>
          <w:rFonts w:ascii="Palatino Linotype" w:hAnsi="Palatino Linotype"/>
          <w:noProof/>
          <w:sz w:val="20"/>
        </w:rPr>
      </w:pPr>
      <w:r w:rsidRPr="004806DF">
        <w:rPr>
          <w:rFonts w:ascii="Palatino Linotype" w:hAnsi="Palatino Linotype" w:cs="Times New Roman"/>
          <w:noProof/>
          <w:sz w:val="20"/>
          <w:szCs w:val="24"/>
        </w:rPr>
        <w:t xml:space="preserve">10. </w:t>
      </w:r>
      <w:r w:rsidRPr="004806DF">
        <w:rPr>
          <w:rFonts w:ascii="Palatino Linotype" w:hAnsi="Palatino Linotype" w:cs="Times New Roman"/>
          <w:noProof/>
          <w:sz w:val="20"/>
          <w:szCs w:val="24"/>
        </w:rPr>
        <w:tab/>
        <w:t xml:space="preserve">Schuetz, R.; Kuepfer, L.; Sauer, U. Systematic evaluation of objective functions for predicting intracellular fluxes in Escherichia coli. </w:t>
      </w:r>
      <w:r w:rsidRPr="004806DF">
        <w:rPr>
          <w:rFonts w:ascii="Palatino Linotype" w:hAnsi="Palatino Linotype" w:cs="Times New Roman"/>
          <w:i/>
          <w:iCs/>
          <w:noProof/>
          <w:sz w:val="20"/>
          <w:szCs w:val="24"/>
        </w:rPr>
        <w:t>Mol. Syst. Biol.</w:t>
      </w:r>
      <w:r w:rsidRPr="004806DF">
        <w:rPr>
          <w:rFonts w:ascii="Palatino Linotype" w:hAnsi="Palatino Linotype" w:cs="Times New Roman"/>
          <w:noProof/>
          <w:sz w:val="20"/>
          <w:szCs w:val="24"/>
        </w:rPr>
        <w:t xml:space="preserve"> </w:t>
      </w:r>
      <w:r w:rsidRPr="004806DF">
        <w:rPr>
          <w:rFonts w:ascii="Palatino Linotype" w:hAnsi="Palatino Linotype" w:cs="Times New Roman"/>
          <w:b/>
          <w:bCs/>
          <w:noProof/>
          <w:sz w:val="20"/>
          <w:szCs w:val="24"/>
        </w:rPr>
        <w:t>2007</w:t>
      </w:r>
      <w:r w:rsidRPr="004806DF">
        <w:rPr>
          <w:rFonts w:ascii="Palatino Linotype" w:hAnsi="Palatino Linotype" w:cs="Times New Roman"/>
          <w:noProof/>
          <w:sz w:val="20"/>
          <w:szCs w:val="24"/>
        </w:rPr>
        <w:t xml:space="preserve">, </w:t>
      </w:r>
      <w:r w:rsidRPr="004806DF">
        <w:rPr>
          <w:rFonts w:ascii="Palatino Linotype" w:hAnsi="Palatino Linotype" w:cs="Times New Roman"/>
          <w:i/>
          <w:iCs/>
          <w:noProof/>
          <w:sz w:val="20"/>
          <w:szCs w:val="24"/>
        </w:rPr>
        <w:t>3</w:t>
      </w:r>
      <w:r w:rsidRPr="004806DF">
        <w:rPr>
          <w:rFonts w:ascii="Palatino Linotype" w:hAnsi="Palatino Linotype" w:cs="Times New Roman"/>
          <w:noProof/>
          <w:sz w:val="20"/>
          <w:szCs w:val="24"/>
        </w:rPr>
        <w:t>, 119.</w:t>
      </w:r>
    </w:p>
    <w:p w:rsidR="00A53157" w:rsidRPr="00A53157" w:rsidRDefault="00A53157" w:rsidP="00A53157">
      <w:pPr>
        <w:spacing w:after="0" w:line="240" w:lineRule="atLeast"/>
        <w:jc w:val="both"/>
        <w:rPr>
          <w:rFonts w:ascii="Palatino Linotype" w:hAnsi="Palatino Linotype" w:cs="Times New Roman"/>
          <w:sz w:val="20"/>
          <w:szCs w:val="20"/>
        </w:rPr>
      </w:pPr>
      <w:r>
        <w:rPr>
          <w:rFonts w:ascii="Palatino Linotype" w:hAnsi="Palatino Linotype" w:cs="Times New Roman"/>
          <w:sz w:val="20"/>
          <w:szCs w:val="20"/>
        </w:rPr>
        <w:fldChar w:fldCharType="end"/>
      </w:r>
    </w:p>
    <w:sectPr w:rsidR="00A53157" w:rsidRPr="00A53157" w:rsidSect="008E6C4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4BE" w:rsidRDefault="00E254BE" w:rsidP="004B78ED">
      <w:pPr>
        <w:spacing w:after="0" w:line="240" w:lineRule="auto"/>
      </w:pPr>
      <w:r>
        <w:separator/>
      </w:r>
    </w:p>
  </w:endnote>
  <w:endnote w:type="continuationSeparator" w:id="0">
    <w:p w:rsidR="00E254BE" w:rsidRDefault="00E254BE" w:rsidP="004B7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rialMT">
    <w:altName w:val="Yu Gothic UI"/>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4BE" w:rsidRDefault="00E254BE" w:rsidP="004B78ED">
      <w:pPr>
        <w:spacing w:after="0" w:line="240" w:lineRule="auto"/>
      </w:pPr>
      <w:r>
        <w:separator/>
      </w:r>
    </w:p>
  </w:footnote>
  <w:footnote w:type="continuationSeparator" w:id="0">
    <w:p w:rsidR="00E254BE" w:rsidRDefault="00E254BE" w:rsidP="004B78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2767A"/>
    <w:multiLevelType w:val="multilevel"/>
    <w:tmpl w:val="3556A01E"/>
    <w:lvl w:ilvl="0">
      <w:start w:val="1"/>
      <w:numFmt w:val="decimal"/>
      <w:lvlText w:val="CHAPTER %1"/>
      <w:lvlJc w:val="left"/>
      <w:pPr>
        <w:ind w:left="360" w:hanging="360"/>
      </w:pPr>
      <w:rPr>
        <w:rFonts w:hint="eastAsia"/>
        <w:sz w:val="28"/>
        <w:szCs w:val="30"/>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 w15:restartNumberingAfterBreak="0">
    <w:nsid w:val="0DAE0464"/>
    <w:multiLevelType w:val="hybridMultilevel"/>
    <w:tmpl w:val="AC441C2C"/>
    <w:lvl w:ilvl="0" w:tplc="F628FB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1C050A"/>
    <w:multiLevelType w:val="hybridMultilevel"/>
    <w:tmpl w:val="D8A23C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B62A40"/>
    <w:multiLevelType w:val="hybridMultilevel"/>
    <w:tmpl w:val="7A126F9A"/>
    <w:lvl w:ilvl="0" w:tplc="D8FE3A6E">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0D3637"/>
    <w:multiLevelType w:val="hybridMultilevel"/>
    <w:tmpl w:val="7778A8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DB5135"/>
    <w:multiLevelType w:val="multilevel"/>
    <w:tmpl w:val="75001FFA"/>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7F96636"/>
    <w:multiLevelType w:val="multilevel"/>
    <w:tmpl w:val="45461714"/>
    <w:lvl w:ilvl="0">
      <w:start w:val="7"/>
      <w:numFmt w:val="decimal"/>
      <w:lvlText w:val="CHAPTER %1"/>
      <w:lvlJc w:val="left"/>
      <w:pPr>
        <w:ind w:left="375" w:hanging="375"/>
      </w:pPr>
      <w:rPr>
        <w:rFonts w:hint="eastAsia"/>
        <w:color w:val="auto"/>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BE6FBF"/>
    <w:multiLevelType w:val="multilevel"/>
    <w:tmpl w:val="A2C84644"/>
    <w:lvl w:ilvl="0">
      <w:start w:val="1"/>
      <w:numFmt w:val="decimal"/>
      <w:lvlText w:val="%1"/>
      <w:lvlJc w:val="left"/>
      <w:pPr>
        <w:ind w:left="375" w:hanging="375"/>
      </w:pPr>
      <w:rPr>
        <w:rFonts w:ascii="Times New Roman" w:hAnsi="Times New Roman" w:cs="Times New Roman" w:hint="default"/>
        <w:b/>
        <w:i/>
        <w:sz w:val="28"/>
      </w:rPr>
    </w:lvl>
    <w:lvl w:ilvl="1">
      <w:start w:val="1"/>
      <w:numFmt w:val="decimal"/>
      <w:lvlText w:val="%1.%2"/>
      <w:lvlJc w:val="left"/>
      <w:pPr>
        <w:ind w:left="375" w:hanging="375"/>
      </w:pPr>
      <w:rPr>
        <w:rFonts w:ascii="Times New Roman" w:hAnsi="Times New Roman" w:cs="Times New Roman" w:hint="default"/>
        <w:b/>
        <w:i/>
        <w:sz w:val="28"/>
      </w:rPr>
    </w:lvl>
    <w:lvl w:ilvl="2">
      <w:start w:val="1"/>
      <w:numFmt w:val="decimal"/>
      <w:lvlText w:val="%1.%2.%3"/>
      <w:lvlJc w:val="left"/>
      <w:pPr>
        <w:ind w:left="720" w:hanging="720"/>
      </w:pPr>
      <w:rPr>
        <w:rFonts w:ascii="Times New Roman" w:hAnsi="Times New Roman" w:cs="Times New Roman" w:hint="default"/>
        <w:b/>
        <w:i/>
        <w:sz w:val="28"/>
      </w:rPr>
    </w:lvl>
    <w:lvl w:ilvl="3">
      <w:start w:val="1"/>
      <w:numFmt w:val="decimal"/>
      <w:lvlText w:val="%1.%2.%3.%4"/>
      <w:lvlJc w:val="left"/>
      <w:pPr>
        <w:ind w:left="720" w:hanging="720"/>
      </w:pPr>
      <w:rPr>
        <w:rFonts w:ascii="Times New Roman" w:hAnsi="Times New Roman" w:cs="Times New Roman" w:hint="default"/>
        <w:b/>
        <w:i/>
        <w:sz w:val="28"/>
      </w:rPr>
    </w:lvl>
    <w:lvl w:ilvl="4">
      <w:start w:val="1"/>
      <w:numFmt w:val="decimal"/>
      <w:lvlText w:val="%1.%2.%3.%4.%5"/>
      <w:lvlJc w:val="left"/>
      <w:pPr>
        <w:ind w:left="1080" w:hanging="1080"/>
      </w:pPr>
      <w:rPr>
        <w:rFonts w:ascii="Times New Roman" w:hAnsi="Times New Roman" w:cs="Times New Roman" w:hint="default"/>
        <w:b/>
        <w:i/>
        <w:sz w:val="28"/>
      </w:rPr>
    </w:lvl>
    <w:lvl w:ilvl="5">
      <w:start w:val="1"/>
      <w:numFmt w:val="decimal"/>
      <w:lvlText w:val="%1.%2.%3.%4.%5.%6"/>
      <w:lvlJc w:val="left"/>
      <w:pPr>
        <w:ind w:left="1080" w:hanging="1080"/>
      </w:pPr>
      <w:rPr>
        <w:rFonts w:ascii="Times New Roman" w:hAnsi="Times New Roman" w:cs="Times New Roman" w:hint="default"/>
        <w:b/>
        <w:i/>
        <w:sz w:val="28"/>
      </w:rPr>
    </w:lvl>
    <w:lvl w:ilvl="6">
      <w:start w:val="1"/>
      <w:numFmt w:val="decimal"/>
      <w:lvlText w:val="%1.%2.%3.%4.%5.%6.%7"/>
      <w:lvlJc w:val="left"/>
      <w:pPr>
        <w:ind w:left="1440" w:hanging="1440"/>
      </w:pPr>
      <w:rPr>
        <w:rFonts w:ascii="Times New Roman" w:hAnsi="Times New Roman" w:cs="Times New Roman" w:hint="default"/>
        <w:b/>
        <w:i/>
        <w:sz w:val="28"/>
      </w:rPr>
    </w:lvl>
    <w:lvl w:ilvl="7">
      <w:start w:val="1"/>
      <w:numFmt w:val="decimal"/>
      <w:lvlText w:val="%1.%2.%3.%4.%5.%6.%7.%8"/>
      <w:lvlJc w:val="left"/>
      <w:pPr>
        <w:ind w:left="1440" w:hanging="1440"/>
      </w:pPr>
      <w:rPr>
        <w:rFonts w:ascii="Times New Roman" w:hAnsi="Times New Roman" w:cs="Times New Roman" w:hint="default"/>
        <w:b/>
        <w:i/>
        <w:sz w:val="28"/>
      </w:rPr>
    </w:lvl>
    <w:lvl w:ilvl="8">
      <w:start w:val="1"/>
      <w:numFmt w:val="decimal"/>
      <w:lvlText w:val="%1.%2.%3.%4.%5.%6.%7.%8.%9"/>
      <w:lvlJc w:val="left"/>
      <w:pPr>
        <w:ind w:left="1800" w:hanging="1800"/>
      </w:pPr>
      <w:rPr>
        <w:rFonts w:ascii="Times New Roman" w:hAnsi="Times New Roman" w:cs="Times New Roman" w:hint="default"/>
        <w:b/>
        <w:i/>
        <w:sz w:val="28"/>
      </w:rPr>
    </w:lvl>
  </w:abstractNum>
  <w:abstractNum w:abstractNumId="8" w15:restartNumberingAfterBreak="0">
    <w:nsid w:val="1E130099"/>
    <w:multiLevelType w:val="hybridMultilevel"/>
    <w:tmpl w:val="36B8B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DB16DB"/>
    <w:multiLevelType w:val="hybridMultilevel"/>
    <w:tmpl w:val="0D6A0B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3F5056"/>
    <w:multiLevelType w:val="hybridMultilevel"/>
    <w:tmpl w:val="D4CC3E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A21270"/>
    <w:multiLevelType w:val="hybridMultilevel"/>
    <w:tmpl w:val="116007BE"/>
    <w:lvl w:ilvl="0" w:tplc="02420650">
      <w:start w:val="6"/>
      <w:numFmt w:val="decimal"/>
      <w:lvlText w:val="CHAPTER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AF7646"/>
    <w:multiLevelType w:val="hybridMultilevel"/>
    <w:tmpl w:val="DB46C7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BD7661"/>
    <w:multiLevelType w:val="multilevel"/>
    <w:tmpl w:val="EEA0F38A"/>
    <w:lvl w:ilvl="0">
      <w:start w:val="2"/>
      <w:numFmt w:val="decimal"/>
      <w:lvlText w:val="%1"/>
      <w:lvlJc w:val="left"/>
      <w:pPr>
        <w:ind w:left="375" w:hanging="375"/>
      </w:pPr>
      <w:rPr>
        <w:rFonts w:ascii="Times New Roman" w:hAnsi="Times New Roman" w:cs="Times New Roman" w:hint="default"/>
        <w:sz w:val="28"/>
      </w:rPr>
    </w:lvl>
    <w:lvl w:ilvl="1">
      <w:start w:val="1"/>
      <w:numFmt w:val="decimal"/>
      <w:lvlText w:val="%1.%2"/>
      <w:lvlJc w:val="left"/>
      <w:pPr>
        <w:ind w:left="375" w:hanging="375"/>
      </w:pPr>
      <w:rPr>
        <w:rFonts w:ascii="Times New Roman" w:hAnsi="Times New Roman" w:cs="Times New Roman" w:hint="default"/>
        <w:sz w:val="28"/>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080" w:hanging="108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440" w:hanging="144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14" w15:restartNumberingAfterBreak="0">
    <w:nsid w:val="3DA76EA7"/>
    <w:multiLevelType w:val="multilevel"/>
    <w:tmpl w:val="75001FFA"/>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765A96"/>
    <w:multiLevelType w:val="multilevel"/>
    <w:tmpl w:val="FF4E2088"/>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5657CB3"/>
    <w:multiLevelType w:val="hybridMultilevel"/>
    <w:tmpl w:val="5EC8A2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F867E7"/>
    <w:multiLevelType w:val="hybridMultilevel"/>
    <w:tmpl w:val="8F04F43C"/>
    <w:lvl w:ilvl="0" w:tplc="EFB0E1E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98538A1"/>
    <w:multiLevelType w:val="hybridMultilevel"/>
    <w:tmpl w:val="EF9E16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8839DA"/>
    <w:multiLevelType w:val="hybridMultilevel"/>
    <w:tmpl w:val="4F6664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AC4D05"/>
    <w:multiLevelType w:val="hybridMultilevel"/>
    <w:tmpl w:val="B9AC76E2"/>
    <w:lvl w:ilvl="0" w:tplc="F628FB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F12BF5"/>
    <w:multiLevelType w:val="hybridMultilevel"/>
    <w:tmpl w:val="4BC66B96"/>
    <w:lvl w:ilvl="0" w:tplc="BBF2EACC">
      <w:start w:val="1"/>
      <w:numFmt w:val="lowerRoman"/>
      <w:lvlText w:val="%1."/>
      <w:lvlJc w:val="left"/>
      <w:pPr>
        <w:ind w:left="1080" w:hanging="72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8E6CE1"/>
    <w:multiLevelType w:val="hybridMultilevel"/>
    <w:tmpl w:val="7DB06F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1367E9"/>
    <w:multiLevelType w:val="multilevel"/>
    <w:tmpl w:val="61C8D1B6"/>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AB001B"/>
    <w:multiLevelType w:val="hybridMultilevel"/>
    <w:tmpl w:val="4C8019CA"/>
    <w:lvl w:ilvl="0" w:tplc="62585460">
      <w:start w:val="1"/>
      <w:numFmt w:val="decimal"/>
      <w:lvlText w:val="%1)"/>
      <w:lvlJc w:val="left"/>
      <w:pPr>
        <w:ind w:left="720" w:hanging="360"/>
      </w:pPr>
      <w:rPr>
        <w:rFonts w:eastAsiaTheme="minorEastAsia"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7E20FE"/>
    <w:multiLevelType w:val="multilevel"/>
    <w:tmpl w:val="D870FAA4"/>
    <w:lvl w:ilvl="0">
      <w:start w:val="2"/>
      <w:numFmt w:val="decimal"/>
      <w:lvlText w:val="%1"/>
      <w:lvlJc w:val="left"/>
      <w:pPr>
        <w:ind w:left="525" w:hanging="525"/>
      </w:pPr>
      <w:rPr>
        <w:rFonts w:hint="default"/>
        <w:u w:val="none"/>
      </w:rPr>
    </w:lvl>
    <w:lvl w:ilvl="1">
      <w:start w:val="2"/>
      <w:numFmt w:val="decimal"/>
      <w:lvlText w:val="%1.%2"/>
      <w:lvlJc w:val="left"/>
      <w:pPr>
        <w:ind w:left="777" w:hanging="525"/>
      </w:pPr>
      <w:rPr>
        <w:rFonts w:hint="default"/>
        <w:b/>
        <w:u w:val="none"/>
      </w:rPr>
    </w:lvl>
    <w:lvl w:ilvl="2">
      <w:start w:val="1"/>
      <w:numFmt w:val="decimal"/>
      <w:lvlText w:val="%1.%2.%3"/>
      <w:lvlJc w:val="left"/>
      <w:pPr>
        <w:ind w:left="1224" w:hanging="720"/>
      </w:pPr>
      <w:rPr>
        <w:rFonts w:hint="default"/>
        <w:u w:val="none"/>
      </w:rPr>
    </w:lvl>
    <w:lvl w:ilvl="3">
      <w:start w:val="1"/>
      <w:numFmt w:val="decimal"/>
      <w:lvlText w:val="%1.%2.%3.%4"/>
      <w:lvlJc w:val="left"/>
      <w:pPr>
        <w:ind w:left="1836" w:hanging="108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700" w:hanging="144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564" w:hanging="1800"/>
      </w:pPr>
      <w:rPr>
        <w:rFonts w:hint="default"/>
        <w:u w:val="none"/>
      </w:rPr>
    </w:lvl>
    <w:lvl w:ilvl="8">
      <w:start w:val="1"/>
      <w:numFmt w:val="decimal"/>
      <w:lvlText w:val="%1.%2.%3.%4.%5.%6.%7.%8.%9"/>
      <w:lvlJc w:val="left"/>
      <w:pPr>
        <w:ind w:left="3816" w:hanging="1800"/>
      </w:pPr>
      <w:rPr>
        <w:rFonts w:hint="default"/>
        <w:u w:val="none"/>
      </w:rPr>
    </w:lvl>
  </w:abstractNum>
  <w:abstractNum w:abstractNumId="26" w15:restartNumberingAfterBreak="0">
    <w:nsid w:val="63DF3BC8"/>
    <w:multiLevelType w:val="hybridMultilevel"/>
    <w:tmpl w:val="AC441C2C"/>
    <w:lvl w:ilvl="0" w:tplc="F628FB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17354F"/>
    <w:multiLevelType w:val="hybridMultilevel"/>
    <w:tmpl w:val="076C27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78110F0"/>
    <w:multiLevelType w:val="multilevel"/>
    <w:tmpl w:val="3C1C81FA"/>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DB92E6E"/>
    <w:multiLevelType w:val="hybridMultilevel"/>
    <w:tmpl w:val="47C6C308"/>
    <w:lvl w:ilvl="0" w:tplc="08090011">
      <w:start w:val="1"/>
      <w:numFmt w:val="decimal"/>
      <w:lvlText w:val="%1)"/>
      <w:lvlJc w:val="left"/>
      <w:pPr>
        <w:ind w:left="720" w:hanging="360"/>
      </w:pPr>
      <w:rPr>
        <w:rFonts w:hint="default"/>
      </w:rPr>
    </w:lvl>
    <w:lvl w:ilvl="1" w:tplc="96305A40">
      <w:start w:val="2"/>
      <w:numFmt w:val="bullet"/>
      <w:lvlText w:val="–"/>
      <w:lvlJc w:val="left"/>
      <w:pPr>
        <w:ind w:left="1440" w:hanging="360"/>
      </w:pPr>
      <w:rPr>
        <w:rFonts w:ascii="Times New Roman" w:eastAsiaTheme="majorEastAsia"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176FC"/>
    <w:multiLevelType w:val="hybridMultilevel"/>
    <w:tmpl w:val="04963F72"/>
    <w:lvl w:ilvl="0" w:tplc="72A6C9FE">
      <w:start w:val="1"/>
      <w:numFmt w:val="decimal"/>
      <w:lvlText w:val="%1)"/>
      <w:lvlJc w:val="left"/>
      <w:pPr>
        <w:ind w:left="720" w:hanging="360"/>
      </w:pPr>
      <w:rPr>
        <w:rFonts w:ascii="Palatino Linotype" w:eastAsiaTheme="majorEastAsia" w:hAnsi="Palatino Linotype"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FF724C"/>
    <w:multiLevelType w:val="multilevel"/>
    <w:tmpl w:val="50E02B7E"/>
    <w:lvl w:ilvl="0">
      <w:start w:val="5"/>
      <w:numFmt w:val="decimal"/>
      <w:lvlText w:val="CHAPTER %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2" w15:restartNumberingAfterBreak="0">
    <w:nsid w:val="78A64635"/>
    <w:multiLevelType w:val="hybridMultilevel"/>
    <w:tmpl w:val="8B8E46C2"/>
    <w:lvl w:ilvl="0" w:tplc="0C2C6F30">
      <w:start w:val="1"/>
      <w:numFmt w:val="lowerLetter"/>
      <w:lvlText w:val="%1."/>
      <w:lvlJc w:val="left"/>
      <w:pPr>
        <w:ind w:left="720" w:hanging="360"/>
      </w:pPr>
      <w:rPr>
        <w:rFonts w:hint="default"/>
        <w:b/>
        <w:sz w:val="24"/>
        <w:szCs w:val="24"/>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316F77"/>
    <w:multiLevelType w:val="hybridMultilevel"/>
    <w:tmpl w:val="EBD859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0747EA"/>
    <w:multiLevelType w:val="hybridMultilevel"/>
    <w:tmpl w:val="AC441C2C"/>
    <w:lvl w:ilvl="0" w:tplc="F628FB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32"/>
  </w:num>
  <w:num w:numId="3">
    <w:abstractNumId w:val="29"/>
  </w:num>
  <w:num w:numId="4">
    <w:abstractNumId w:val="15"/>
  </w:num>
  <w:num w:numId="5">
    <w:abstractNumId w:val="14"/>
  </w:num>
  <w:num w:numId="6">
    <w:abstractNumId w:val="33"/>
  </w:num>
  <w:num w:numId="7">
    <w:abstractNumId w:val="2"/>
  </w:num>
  <w:num w:numId="8">
    <w:abstractNumId w:val="5"/>
  </w:num>
  <w:num w:numId="9">
    <w:abstractNumId w:val="3"/>
  </w:num>
  <w:num w:numId="10">
    <w:abstractNumId w:val="9"/>
  </w:num>
  <w:num w:numId="11">
    <w:abstractNumId w:val="18"/>
  </w:num>
  <w:num w:numId="12">
    <w:abstractNumId w:val="6"/>
  </w:num>
  <w:num w:numId="13">
    <w:abstractNumId w:val="12"/>
  </w:num>
  <w:num w:numId="14">
    <w:abstractNumId w:val="0"/>
  </w:num>
  <w:num w:numId="15">
    <w:abstractNumId w:val="31"/>
  </w:num>
  <w:num w:numId="16">
    <w:abstractNumId w:val="11"/>
  </w:num>
  <w:num w:numId="17">
    <w:abstractNumId w:val="24"/>
  </w:num>
  <w:num w:numId="18">
    <w:abstractNumId w:val="19"/>
  </w:num>
  <w:num w:numId="19">
    <w:abstractNumId w:val="10"/>
  </w:num>
  <w:num w:numId="20">
    <w:abstractNumId w:val="4"/>
  </w:num>
  <w:num w:numId="21">
    <w:abstractNumId w:val="27"/>
  </w:num>
  <w:num w:numId="22">
    <w:abstractNumId w:val="28"/>
  </w:num>
  <w:num w:numId="23">
    <w:abstractNumId w:val="16"/>
  </w:num>
  <w:num w:numId="24">
    <w:abstractNumId w:val="17"/>
  </w:num>
  <w:num w:numId="25">
    <w:abstractNumId w:val="22"/>
  </w:num>
  <w:num w:numId="26">
    <w:abstractNumId w:val="21"/>
  </w:num>
  <w:num w:numId="27">
    <w:abstractNumId w:val="8"/>
  </w:num>
  <w:num w:numId="28">
    <w:abstractNumId w:val="7"/>
  </w:num>
  <w:num w:numId="29">
    <w:abstractNumId w:val="13"/>
  </w:num>
  <w:num w:numId="30">
    <w:abstractNumId w:val="23"/>
  </w:num>
  <w:num w:numId="31">
    <w:abstractNumId w:val="30"/>
  </w:num>
  <w:num w:numId="32">
    <w:abstractNumId w:val="20"/>
  </w:num>
  <w:num w:numId="33">
    <w:abstractNumId w:val="1"/>
  </w:num>
  <w:num w:numId="34">
    <w:abstractNumId w:val="34"/>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a0sDSxsDAwt7AwtjBU0lEKTi0uzszPAykwNKkFAL0HHRUtAAAA"/>
  </w:docVars>
  <w:rsids>
    <w:rsidRoot w:val="00237DE5"/>
    <w:rsid w:val="000578C7"/>
    <w:rsid w:val="0006477F"/>
    <w:rsid w:val="000C2599"/>
    <w:rsid w:val="00147FF5"/>
    <w:rsid w:val="0016123C"/>
    <w:rsid w:val="00171E58"/>
    <w:rsid w:val="001B3EB2"/>
    <w:rsid w:val="001F1187"/>
    <w:rsid w:val="00237DE5"/>
    <w:rsid w:val="00270132"/>
    <w:rsid w:val="00377EA5"/>
    <w:rsid w:val="003C571A"/>
    <w:rsid w:val="004316C7"/>
    <w:rsid w:val="00455C7C"/>
    <w:rsid w:val="004806DF"/>
    <w:rsid w:val="004B78ED"/>
    <w:rsid w:val="004D01B2"/>
    <w:rsid w:val="00567A0E"/>
    <w:rsid w:val="005A7039"/>
    <w:rsid w:val="005F49D2"/>
    <w:rsid w:val="00656421"/>
    <w:rsid w:val="00672080"/>
    <w:rsid w:val="0070637D"/>
    <w:rsid w:val="007B4590"/>
    <w:rsid w:val="007E1A44"/>
    <w:rsid w:val="007E2BDF"/>
    <w:rsid w:val="008E6C43"/>
    <w:rsid w:val="009539FB"/>
    <w:rsid w:val="009A2F70"/>
    <w:rsid w:val="009C4803"/>
    <w:rsid w:val="00A05619"/>
    <w:rsid w:val="00A17C8F"/>
    <w:rsid w:val="00A41455"/>
    <w:rsid w:val="00A53157"/>
    <w:rsid w:val="00A54C6E"/>
    <w:rsid w:val="00A65116"/>
    <w:rsid w:val="00AC2D85"/>
    <w:rsid w:val="00AC462A"/>
    <w:rsid w:val="00AC4961"/>
    <w:rsid w:val="00B10E5C"/>
    <w:rsid w:val="00B2066A"/>
    <w:rsid w:val="00B310EA"/>
    <w:rsid w:val="00B421E0"/>
    <w:rsid w:val="00BA37D1"/>
    <w:rsid w:val="00BB4607"/>
    <w:rsid w:val="00BE2446"/>
    <w:rsid w:val="00C0173F"/>
    <w:rsid w:val="00C216D6"/>
    <w:rsid w:val="00C54CD1"/>
    <w:rsid w:val="00C652AC"/>
    <w:rsid w:val="00C87BAC"/>
    <w:rsid w:val="00D505E9"/>
    <w:rsid w:val="00DA381C"/>
    <w:rsid w:val="00DE1DE8"/>
    <w:rsid w:val="00E10730"/>
    <w:rsid w:val="00E254BE"/>
    <w:rsid w:val="00F056E6"/>
    <w:rsid w:val="00F14E1E"/>
    <w:rsid w:val="00F453AB"/>
    <w:rsid w:val="00FB3744"/>
    <w:rsid w:val="00FD2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70351"/>
  <w15:docId w15:val="{D9C2F5BC-C244-4A7D-99F8-AF24B458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6C43"/>
  </w:style>
  <w:style w:type="paragraph" w:styleId="1">
    <w:name w:val="heading 1"/>
    <w:basedOn w:val="a"/>
    <w:next w:val="a"/>
    <w:link w:val="10"/>
    <w:uiPriority w:val="9"/>
    <w:qFormat/>
    <w:rsid w:val="008E6C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E6C4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E6C4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E6C4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E6C4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E6C4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8E6C4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8E6C43"/>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8E6C4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78ED"/>
    <w:pPr>
      <w:tabs>
        <w:tab w:val="center" w:pos="4153"/>
        <w:tab w:val="right" w:pos="8306"/>
      </w:tabs>
    </w:pPr>
  </w:style>
  <w:style w:type="character" w:customStyle="1" w:styleId="a4">
    <w:name w:val="页眉 字符"/>
    <w:basedOn w:val="a0"/>
    <w:link w:val="a3"/>
    <w:uiPriority w:val="99"/>
    <w:rsid w:val="004B78ED"/>
    <w:rPr>
      <w:lang w:val="en-GB"/>
    </w:rPr>
  </w:style>
  <w:style w:type="paragraph" w:styleId="a5">
    <w:name w:val="footer"/>
    <w:basedOn w:val="a"/>
    <w:link w:val="a6"/>
    <w:uiPriority w:val="99"/>
    <w:unhideWhenUsed/>
    <w:rsid w:val="004B78ED"/>
    <w:pPr>
      <w:tabs>
        <w:tab w:val="center" w:pos="4153"/>
        <w:tab w:val="right" w:pos="8306"/>
      </w:tabs>
    </w:pPr>
  </w:style>
  <w:style w:type="character" w:customStyle="1" w:styleId="a6">
    <w:name w:val="页脚 字符"/>
    <w:basedOn w:val="a0"/>
    <w:link w:val="a5"/>
    <w:uiPriority w:val="99"/>
    <w:rsid w:val="004B78ED"/>
    <w:rPr>
      <w:lang w:val="en-GB"/>
    </w:rPr>
  </w:style>
  <w:style w:type="character" w:customStyle="1" w:styleId="10">
    <w:name w:val="标题 1 字符"/>
    <w:basedOn w:val="a0"/>
    <w:link w:val="1"/>
    <w:uiPriority w:val="9"/>
    <w:rsid w:val="008E6C43"/>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sid w:val="008E6C43"/>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sid w:val="008E6C43"/>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sid w:val="008E6C43"/>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semiHidden/>
    <w:rsid w:val="008E6C43"/>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semiHidden/>
    <w:rsid w:val="008E6C43"/>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semiHidden/>
    <w:rsid w:val="008E6C43"/>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semiHidden/>
    <w:rsid w:val="008E6C43"/>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semiHidden/>
    <w:rsid w:val="008E6C43"/>
    <w:rPr>
      <w:rFonts w:asciiTheme="majorHAnsi" w:eastAsiaTheme="majorEastAsia" w:hAnsiTheme="majorHAnsi" w:cstheme="majorBidi"/>
      <w:i/>
      <w:iCs/>
      <w:color w:val="404040" w:themeColor="text1" w:themeTint="BF"/>
      <w:sz w:val="20"/>
      <w:szCs w:val="20"/>
    </w:rPr>
  </w:style>
  <w:style w:type="paragraph" w:styleId="a7">
    <w:name w:val="No Spacing"/>
    <w:link w:val="a8"/>
    <w:uiPriority w:val="1"/>
    <w:qFormat/>
    <w:rsid w:val="008E6C43"/>
    <w:pPr>
      <w:spacing w:after="0" w:line="240" w:lineRule="auto"/>
    </w:pPr>
  </w:style>
  <w:style w:type="character" w:customStyle="1" w:styleId="a8">
    <w:name w:val="无间隔 字符"/>
    <w:basedOn w:val="a0"/>
    <w:link w:val="a7"/>
    <w:uiPriority w:val="1"/>
    <w:rsid w:val="008E6C43"/>
  </w:style>
  <w:style w:type="character" w:styleId="a9">
    <w:name w:val="annotation reference"/>
    <w:basedOn w:val="a0"/>
    <w:uiPriority w:val="99"/>
    <w:semiHidden/>
    <w:unhideWhenUsed/>
    <w:rsid w:val="008E6C43"/>
    <w:rPr>
      <w:sz w:val="16"/>
      <w:szCs w:val="16"/>
    </w:rPr>
  </w:style>
  <w:style w:type="paragraph" w:styleId="aa">
    <w:name w:val="annotation text"/>
    <w:basedOn w:val="a"/>
    <w:link w:val="ab"/>
    <w:uiPriority w:val="99"/>
    <w:semiHidden/>
    <w:unhideWhenUsed/>
    <w:rsid w:val="008E6C43"/>
    <w:rPr>
      <w:i/>
      <w:iCs/>
    </w:rPr>
  </w:style>
  <w:style w:type="character" w:customStyle="1" w:styleId="ab">
    <w:name w:val="批注文字 字符"/>
    <w:basedOn w:val="a0"/>
    <w:link w:val="aa"/>
    <w:uiPriority w:val="99"/>
    <w:semiHidden/>
    <w:rsid w:val="008E6C43"/>
    <w:rPr>
      <w:kern w:val="0"/>
      <w:sz w:val="20"/>
      <w:szCs w:val="20"/>
      <w:lang w:val="en-GB"/>
    </w:rPr>
  </w:style>
  <w:style w:type="paragraph" w:styleId="ac">
    <w:name w:val="Balloon Text"/>
    <w:basedOn w:val="a"/>
    <w:link w:val="ad"/>
    <w:uiPriority w:val="99"/>
    <w:semiHidden/>
    <w:unhideWhenUsed/>
    <w:rsid w:val="008E6C43"/>
    <w:rPr>
      <w:rFonts w:ascii="宋体" w:eastAsia="宋体"/>
      <w:sz w:val="18"/>
      <w:szCs w:val="18"/>
    </w:rPr>
  </w:style>
  <w:style w:type="character" w:customStyle="1" w:styleId="ad">
    <w:name w:val="批注框文本 字符"/>
    <w:basedOn w:val="a0"/>
    <w:link w:val="ac"/>
    <w:uiPriority w:val="99"/>
    <w:semiHidden/>
    <w:rsid w:val="008E6C43"/>
    <w:rPr>
      <w:rFonts w:ascii="宋体" w:eastAsia="宋体"/>
      <w:i/>
      <w:iCs/>
      <w:kern w:val="0"/>
      <w:sz w:val="18"/>
      <w:szCs w:val="18"/>
      <w:lang w:val="en-GB"/>
    </w:rPr>
  </w:style>
  <w:style w:type="paragraph" w:styleId="ae">
    <w:name w:val="List Paragraph"/>
    <w:basedOn w:val="a"/>
    <w:uiPriority w:val="34"/>
    <w:qFormat/>
    <w:rsid w:val="008E6C43"/>
    <w:pPr>
      <w:ind w:left="720"/>
      <w:contextualSpacing/>
    </w:pPr>
  </w:style>
  <w:style w:type="paragraph" w:styleId="af">
    <w:name w:val="Normal (Web)"/>
    <w:basedOn w:val="a"/>
    <w:uiPriority w:val="99"/>
    <w:unhideWhenUsed/>
    <w:rsid w:val="008E6C43"/>
    <w:pPr>
      <w:spacing w:before="100" w:beforeAutospacing="1" w:after="100" w:afterAutospacing="1"/>
    </w:pPr>
    <w:rPr>
      <w:rFonts w:ascii="Times New Roman" w:hAnsi="Times New Roman" w:cs="Times New Roman"/>
      <w:sz w:val="24"/>
      <w:szCs w:val="24"/>
    </w:rPr>
  </w:style>
  <w:style w:type="paragraph" w:styleId="af0">
    <w:name w:val="caption"/>
    <w:basedOn w:val="a"/>
    <w:next w:val="a"/>
    <w:uiPriority w:val="35"/>
    <w:unhideWhenUsed/>
    <w:qFormat/>
    <w:rsid w:val="008E6C43"/>
    <w:pPr>
      <w:spacing w:line="240" w:lineRule="auto"/>
    </w:pPr>
    <w:rPr>
      <w:b/>
      <w:bCs/>
      <w:color w:val="4F81BD" w:themeColor="accent1"/>
      <w:sz w:val="18"/>
      <w:szCs w:val="18"/>
    </w:rPr>
  </w:style>
  <w:style w:type="table" w:styleId="-1">
    <w:name w:val="Light Shading Accent 1"/>
    <w:basedOn w:val="a1"/>
    <w:uiPriority w:val="60"/>
    <w:rsid w:val="008E6C43"/>
    <w:pPr>
      <w:spacing w:line="288"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af1">
    <w:name w:val="Emphasis"/>
    <w:basedOn w:val="a0"/>
    <w:uiPriority w:val="20"/>
    <w:qFormat/>
    <w:rsid w:val="008E6C43"/>
    <w:rPr>
      <w:i/>
      <w:iCs/>
    </w:rPr>
  </w:style>
  <w:style w:type="character" w:customStyle="1" w:styleId="apple-converted-space">
    <w:name w:val="apple-converted-space"/>
    <w:basedOn w:val="a0"/>
    <w:rsid w:val="008E6C43"/>
  </w:style>
  <w:style w:type="character" w:styleId="af2">
    <w:name w:val="Placeholder Text"/>
    <w:basedOn w:val="a0"/>
    <w:uiPriority w:val="99"/>
    <w:semiHidden/>
    <w:rsid w:val="008E6C43"/>
    <w:rPr>
      <w:color w:val="808080"/>
    </w:rPr>
  </w:style>
  <w:style w:type="table" w:styleId="af3">
    <w:name w:val="Table Grid"/>
    <w:basedOn w:val="a1"/>
    <w:uiPriority w:val="59"/>
    <w:rsid w:val="008E6C43"/>
    <w:pPr>
      <w:spacing w:line="288"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s-body-text">
    <w:name w:val="Els-body-text"/>
    <w:rsid w:val="008E6C43"/>
    <w:pPr>
      <w:spacing w:line="288" w:lineRule="auto"/>
      <w:jc w:val="both"/>
    </w:pPr>
    <w:rPr>
      <w:rFonts w:ascii="Times New Roman" w:eastAsia="宋体" w:hAnsi="Times New Roman" w:cs="Times New Roman"/>
      <w:sz w:val="20"/>
      <w:szCs w:val="20"/>
      <w:lang w:eastAsia="en-US"/>
    </w:rPr>
  </w:style>
  <w:style w:type="character" w:customStyle="1" w:styleId="st1">
    <w:name w:val="st1"/>
    <w:basedOn w:val="a0"/>
    <w:rsid w:val="008E6C43"/>
  </w:style>
  <w:style w:type="paragraph" w:styleId="TOC">
    <w:name w:val="TOC Heading"/>
    <w:basedOn w:val="1"/>
    <w:next w:val="a"/>
    <w:uiPriority w:val="39"/>
    <w:unhideWhenUsed/>
    <w:qFormat/>
    <w:rsid w:val="008E6C43"/>
    <w:pPr>
      <w:outlineLvl w:val="9"/>
    </w:pPr>
  </w:style>
  <w:style w:type="paragraph" w:styleId="af4">
    <w:name w:val="Title"/>
    <w:basedOn w:val="a"/>
    <w:next w:val="a"/>
    <w:link w:val="af5"/>
    <w:uiPriority w:val="10"/>
    <w:qFormat/>
    <w:rsid w:val="008E6C4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标题 字符"/>
    <w:basedOn w:val="a0"/>
    <w:link w:val="af4"/>
    <w:uiPriority w:val="10"/>
    <w:rsid w:val="008E6C43"/>
    <w:rPr>
      <w:rFonts w:asciiTheme="majorHAnsi" w:eastAsiaTheme="majorEastAsia" w:hAnsiTheme="majorHAnsi" w:cstheme="majorBidi"/>
      <w:color w:val="17365D" w:themeColor="text2" w:themeShade="BF"/>
      <w:spacing w:val="5"/>
      <w:kern w:val="28"/>
      <w:sz w:val="52"/>
      <w:szCs w:val="52"/>
    </w:rPr>
  </w:style>
  <w:style w:type="paragraph" w:styleId="af6">
    <w:name w:val="Subtitle"/>
    <w:basedOn w:val="a"/>
    <w:next w:val="a"/>
    <w:link w:val="af7"/>
    <w:uiPriority w:val="11"/>
    <w:qFormat/>
    <w:rsid w:val="008E6C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7">
    <w:name w:val="副标题 字符"/>
    <w:basedOn w:val="a0"/>
    <w:link w:val="af6"/>
    <w:uiPriority w:val="11"/>
    <w:rsid w:val="008E6C43"/>
    <w:rPr>
      <w:rFonts w:asciiTheme="majorHAnsi" w:eastAsiaTheme="majorEastAsia" w:hAnsiTheme="majorHAnsi" w:cstheme="majorBidi"/>
      <w:i/>
      <w:iCs/>
      <w:color w:val="4F81BD" w:themeColor="accent1"/>
      <w:spacing w:val="15"/>
      <w:sz w:val="24"/>
      <w:szCs w:val="24"/>
    </w:rPr>
  </w:style>
  <w:style w:type="character" w:styleId="af8">
    <w:name w:val="Strong"/>
    <w:basedOn w:val="a0"/>
    <w:uiPriority w:val="22"/>
    <w:qFormat/>
    <w:rsid w:val="008E6C43"/>
    <w:rPr>
      <w:b/>
      <w:bCs/>
    </w:rPr>
  </w:style>
  <w:style w:type="paragraph" w:styleId="af9">
    <w:name w:val="Quote"/>
    <w:basedOn w:val="a"/>
    <w:next w:val="a"/>
    <w:link w:val="afa"/>
    <w:uiPriority w:val="29"/>
    <w:qFormat/>
    <w:rsid w:val="008E6C43"/>
    <w:rPr>
      <w:i/>
      <w:iCs/>
      <w:color w:val="000000" w:themeColor="text1"/>
    </w:rPr>
  </w:style>
  <w:style w:type="character" w:customStyle="1" w:styleId="afa">
    <w:name w:val="引用 字符"/>
    <w:basedOn w:val="a0"/>
    <w:link w:val="af9"/>
    <w:uiPriority w:val="29"/>
    <w:rsid w:val="008E6C43"/>
    <w:rPr>
      <w:i/>
      <w:iCs/>
      <w:color w:val="000000" w:themeColor="text1"/>
    </w:rPr>
  </w:style>
  <w:style w:type="paragraph" w:styleId="afb">
    <w:name w:val="Intense Quote"/>
    <w:basedOn w:val="a"/>
    <w:next w:val="a"/>
    <w:link w:val="afc"/>
    <w:uiPriority w:val="30"/>
    <w:qFormat/>
    <w:rsid w:val="008E6C43"/>
    <w:pPr>
      <w:pBdr>
        <w:bottom w:val="single" w:sz="4" w:space="4" w:color="4F81BD" w:themeColor="accent1"/>
      </w:pBdr>
      <w:spacing w:before="200" w:after="280"/>
      <w:ind w:left="936" w:right="936"/>
    </w:pPr>
    <w:rPr>
      <w:b/>
      <w:bCs/>
      <w:i/>
      <w:iCs/>
      <w:color w:val="4F81BD" w:themeColor="accent1"/>
    </w:rPr>
  </w:style>
  <w:style w:type="character" w:customStyle="1" w:styleId="afc">
    <w:name w:val="明显引用 字符"/>
    <w:basedOn w:val="a0"/>
    <w:link w:val="afb"/>
    <w:uiPriority w:val="30"/>
    <w:rsid w:val="008E6C43"/>
    <w:rPr>
      <w:b/>
      <w:bCs/>
      <w:i/>
      <w:iCs/>
      <w:color w:val="4F81BD" w:themeColor="accent1"/>
    </w:rPr>
  </w:style>
  <w:style w:type="character" w:styleId="afd">
    <w:name w:val="Subtle Emphasis"/>
    <w:basedOn w:val="a0"/>
    <w:uiPriority w:val="19"/>
    <w:qFormat/>
    <w:rsid w:val="008E6C43"/>
    <w:rPr>
      <w:i/>
      <w:iCs/>
      <w:color w:val="808080" w:themeColor="text1" w:themeTint="7F"/>
    </w:rPr>
  </w:style>
  <w:style w:type="character" w:styleId="afe">
    <w:name w:val="Intense Emphasis"/>
    <w:basedOn w:val="a0"/>
    <w:uiPriority w:val="21"/>
    <w:qFormat/>
    <w:rsid w:val="008E6C43"/>
    <w:rPr>
      <w:b/>
      <w:bCs/>
      <w:i/>
      <w:iCs/>
      <w:color w:val="4F81BD" w:themeColor="accent1"/>
    </w:rPr>
  </w:style>
  <w:style w:type="character" w:styleId="aff">
    <w:name w:val="Subtle Reference"/>
    <w:basedOn w:val="a0"/>
    <w:uiPriority w:val="31"/>
    <w:qFormat/>
    <w:rsid w:val="008E6C43"/>
    <w:rPr>
      <w:smallCaps/>
      <w:color w:val="C0504D" w:themeColor="accent2"/>
      <w:u w:val="single"/>
    </w:rPr>
  </w:style>
  <w:style w:type="character" w:styleId="aff0">
    <w:name w:val="Intense Reference"/>
    <w:basedOn w:val="a0"/>
    <w:uiPriority w:val="32"/>
    <w:qFormat/>
    <w:rsid w:val="008E6C43"/>
    <w:rPr>
      <w:b/>
      <w:bCs/>
      <w:smallCaps/>
      <w:color w:val="C0504D" w:themeColor="accent2"/>
      <w:spacing w:val="5"/>
      <w:u w:val="single"/>
    </w:rPr>
  </w:style>
  <w:style w:type="character" w:styleId="aff1">
    <w:name w:val="Book Title"/>
    <w:basedOn w:val="a0"/>
    <w:uiPriority w:val="33"/>
    <w:qFormat/>
    <w:rsid w:val="008E6C43"/>
    <w:rPr>
      <w:b/>
      <w:bCs/>
      <w:smallCaps/>
      <w:spacing w:val="5"/>
    </w:rPr>
  </w:style>
  <w:style w:type="paragraph" w:styleId="11">
    <w:name w:val="toc 1"/>
    <w:basedOn w:val="a"/>
    <w:next w:val="a"/>
    <w:autoRedefine/>
    <w:uiPriority w:val="39"/>
    <w:unhideWhenUsed/>
    <w:rsid w:val="008E6C43"/>
    <w:pPr>
      <w:spacing w:after="120" w:line="360" w:lineRule="auto"/>
      <w:mirrorIndents/>
    </w:pPr>
    <w:rPr>
      <w:rFonts w:ascii="Times New Roman" w:hAnsi="Times New Roman"/>
      <w:i/>
      <w:sz w:val="24"/>
    </w:rPr>
  </w:style>
  <w:style w:type="paragraph" w:styleId="21">
    <w:name w:val="toc 2"/>
    <w:basedOn w:val="a"/>
    <w:next w:val="a"/>
    <w:autoRedefine/>
    <w:uiPriority w:val="39"/>
    <w:unhideWhenUsed/>
    <w:rsid w:val="008E6C43"/>
    <w:pPr>
      <w:spacing w:after="120" w:line="360" w:lineRule="auto"/>
      <w:ind w:left="198"/>
    </w:pPr>
    <w:rPr>
      <w:rFonts w:ascii="Times New Roman" w:hAnsi="Times New Roman"/>
      <w:i/>
      <w:sz w:val="24"/>
    </w:rPr>
  </w:style>
  <w:style w:type="character" w:styleId="aff2">
    <w:name w:val="Hyperlink"/>
    <w:basedOn w:val="a0"/>
    <w:uiPriority w:val="99"/>
    <w:unhideWhenUsed/>
    <w:rsid w:val="008E6C43"/>
    <w:rPr>
      <w:color w:val="0000FF" w:themeColor="hyperlink"/>
      <w:u w:val="single"/>
    </w:rPr>
  </w:style>
  <w:style w:type="paragraph" w:customStyle="1" w:styleId="EndNoteBibliographyTitle">
    <w:name w:val="EndNote Bibliography Title"/>
    <w:basedOn w:val="a"/>
    <w:link w:val="EndNoteBibliographyTitleChar"/>
    <w:rsid w:val="008E6C43"/>
    <w:pPr>
      <w:jc w:val="center"/>
    </w:pPr>
    <w:rPr>
      <w:rFonts w:ascii="Calibri" w:hAnsi="Calibri"/>
      <w:noProof/>
    </w:rPr>
  </w:style>
  <w:style w:type="character" w:customStyle="1" w:styleId="EndNoteBibliographyTitleChar">
    <w:name w:val="EndNote Bibliography Title Char"/>
    <w:basedOn w:val="a0"/>
    <w:link w:val="EndNoteBibliographyTitle"/>
    <w:rsid w:val="008E6C43"/>
    <w:rPr>
      <w:rFonts w:ascii="Calibri" w:hAnsi="Calibri"/>
      <w:i/>
      <w:iCs/>
      <w:noProof/>
      <w:kern w:val="0"/>
      <w:sz w:val="20"/>
      <w:szCs w:val="20"/>
      <w:lang w:val="en-GB"/>
    </w:rPr>
  </w:style>
  <w:style w:type="paragraph" w:customStyle="1" w:styleId="EndNoteBibliography">
    <w:name w:val="EndNote Bibliography"/>
    <w:basedOn w:val="a"/>
    <w:link w:val="EndNoteBibliographyChar"/>
    <w:rsid w:val="008E6C43"/>
    <w:rPr>
      <w:rFonts w:ascii="Calibri" w:hAnsi="Calibri"/>
      <w:noProof/>
    </w:rPr>
  </w:style>
  <w:style w:type="character" w:customStyle="1" w:styleId="EndNoteBibliographyChar">
    <w:name w:val="EndNote Bibliography Char"/>
    <w:basedOn w:val="a0"/>
    <w:link w:val="EndNoteBibliography"/>
    <w:rsid w:val="008E6C43"/>
    <w:rPr>
      <w:rFonts w:ascii="Calibri" w:hAnsi="Calibri"/>
      <w:i/>
      <w:iCs/>
      <w:noProof/>
      <w:kern w:val="0"/>
      <w:sz w:val="20"/>
      <w:szCs w:val="20"/>
      <w:lang w:val="en-GB"/>
    </w:rPr>
  </w:style>
  <w:style w:type="table" w:styleId="aff3">
    <w:name w:val="Light Shading"/>
    <w:basedOn w:val="a1"/>
    <w:uiPriority w:val="60"/>
    <w:rsid w:val="008E6C43"/>
    <w:pPr>
      <w:spacing w:line="288"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22">
    <w:name w:val="Medium List 2"/>
    <w:basedOn w:val="a1"/>
    <w:uiPriority w:val="66"/>
    <w:rsid w:val="008E6C43"/>
    <w:pPr>
      <w:spacing w:line="288"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1">
    <w:name w:val="Medium Grid 1 Accent 1"/>
    <w:basedOn w:val="a1"/>
    <w:uiPriority w:val="67"/>
    <w:rsid w:val="008E6C43"/>
    <w:pPr>
      <w:spacing w:line="288"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31">
    <w:name w:val="toc 3"/>
    <w:basedOn w:val="a"/>
    <w:next w:val="a"/>
    <w:autoRedefine/>
    <w:uiPriority w:val="39"/>
    <w:unhideWhenUsed/>
    <w:rsid w:val="008E6C43"/>
    <w:pPr>
      <w:spacing w:after="120" w:line="360" w:lineRule="auto"/>
      <w:ind w:left="403"/>
    </w:pPr>
    <w:rPr>
      <w:rFonts w:ascii="Times New Roman" w:hAnsi="Times New Roman"/>
      <w:i/>
      <w:sz w:val="24"/>
    </w:rPr>
  </w:style>
  <w:style w:type="paragraph" w:styleId="aff4">
    <w:name w:val="footnote text"/>
    <w:basedOn w:val="a"/>
    <w:link w:val="aff5"/>
    <w:uiPriority w:val="99"/>
    <w:semiHidden/>
    <w:unhideWhenUsed/>
    <w:rsid w:val="008E6C43"/>
    <w:pPr>
      <w:spacing w:after="0" w:line="240" w:lineRule="auto"/>
    </w:pPr>
  </w:style>
  <w:style w:type="character" w:customStyle="1" w:styleId="aff5">
    <w:name w:val="脚注文本 字符"/>
    <w:basedOn w:val="a0"/>
    <w:link w:val="aff4"/>
    <w:uiPriority w:val="99"/>
    <w:semiHidden/>
    <w:rsid w:val="008E6C43"/>
    <w:rPr>
      <w:i/>
      <w:iCs/>
      <w:kern w:val="0"/>
      <w:sz w:val="20"/>
      <w:szCs w:val="20"/>
      <w:lang w:val="en-GB"/>
    </w:rPr>
  </w:style>
  <w:style w:type="table" w:styleId="-2">
    <w:name w:val="Light Shading Accent 2"/>
    <w:basedOn w:val="a1"/>
    <w:uiPriority w:val="60"/>
    <w:rsid w:val="008E6C43"/>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0">
    <w:name w:val="Light List Accent 1"/>
    <w:basedOn w:val="a1"/>
    <w:uiPriority w:val="61"/>
    <w:rsid w:val="008E6C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8E6C43"/>
    <w:pPr>
      <w:autoSpaceDE w:val="0"/>
      <w:autoSpaceDN w:val="0"/>
      <w:adjustRightInd w:val="0"/>
    </w:pPr>
    <w:rPr>
      <w:rFonts w:ascii="Times New Roman" w:hAnsi="Times New Roman" w:cs="Times New Roman"/>
      <w:color w:val="000000"/>
      <w:sz w:val="24"/>
      <w:szCs w:val="24"/>
      <w:lang w:val="en-GB"/>
    </w:rPr>
  </w:style>
  <w:style w:type="paragraph" w:styleId="aff6">
    <w:name w:val="table of figures"/>
    <w:basedOn w:val="a"/>
    <w:next w:val="a"/>
    <w:autoRedefine/>
    <w:uiPriority w:val="99"/>
    <w:unhideWhenUsed/>
    <w:rsid w:val="008E6C43"/>
    <w:pPr>
      <w:tabs>
        <w:tab w:val="left" w:leader="dot" w:pos="1276"/>
        <w:tab w:val="right" w:leader="dot" w:pos="8777"/>
      </w:tabs>
      <w:spacing w:after="0" w:line="360" w:lineRule="auto"/>
      <w:ind w:left="1276" w:hanging="1191"/>
    </w:pPr>
    <w:rPr>
      <w:rFonts w:ascii="Times New Roman" w:hAnsi="Times New Roman"/>
      <w:i/>
      <w:sz w:val="24"/>
    </w:rPr>
  </w:style>
  <w:style w:type="paragraph" w:styleId="aff7">
    <w:name w:val="annotation subject"/>
    <w:basedOn w:val="aa"/>
    <w:next w:val="aa"/>
    <w:link w:val="aff8"/>
    <w:uiPriority w:val="99"/>
    <w:semiHidden/>
    <w:unhideWhenUsed/>
    <w:rsid w:val="008E6C43"/>
    <w:pPr>
      <w:spacing w:line="240" w:lineRule="auto"/>
    </w:pPr>
    <w:rPr>
      <w:b/>
      <w:bCs/>
      <w:i w:val="0"/>
      <w:iCs w:val="0"/>
    </w:rPr>
  </w:style>
  <w:style w:type="character" w:customStyle="1" w:styleId="aff8">
    <w:name w:val="批注主题 字符"/>
    <w:basedOn w:val="ab"/>
    <w:link w:val="aff7"/>
    <w:uiPriority w:val="99"/>
    <w:semiHidden/>
    <w:rsid w:val="008E6C43"/>
    <w:rPr>
      <w:b/>
      <w:bCs/>
      <w:i/>
      <w:iCs/>
      <w:kern w:val="0"/>
      <w:sz w:val="20"/>
      <w:szCs w:val="20"/>
      <w:lang w:val="en-GB"/>
    </w:rPr>
  </w:style>
  <w:style w:type="table" w:styleId="-11">
    <w:name w:val="Light Grid Accent 1"/>
    <w:basedOn w:val="a1"/>
    <w:uiPriority w:val="62"/>
    <w:rsid w:val="008E6C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citationref">
    <w:name w:val="citationref"/>
    <w:basedOn w:val="a0"/>
    <w:rsid w:val="008E6C43"/>
  </w:style>
  <w:style w:type="character" w:styleId="aff9">
    <w:name w:val="FollowedHyperlink"/>
    <w:basedOn w:val="a0"/>
    <w:uiPriority w:val="99"/>
    <w:semiHidden/>
    <w:unhideWhenUsed/>
    <w:rsid w:val="008E6C43"/>
    <w:rPr>
      <w:color w:val="800080" w:themeColor="followedHyperlink"/>
      <w:u w:val="single"/>
    </w:rPr>
  </w:style>
  <w:style w:type="paragraph" w:customStyle="1" w:styleId="svarticle">
    <w:name w:val="svarticle"/>
    <w:basedOn w:val="a"/>
    <w:rsid w:val="008E6C43"/>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comic-large">
    <w:name w:val="comic-large"/>
    <w:basedOn w:val="a"/>
    <w:rsid w:val="008E6C43"/>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highlight">
    <w:name w:val="highlight"/>
    <w:basedOn w:val="a0"/>
    <w:rsid w:val="008E6C43"/>
  </w:style>
  <w:style w:type="paragraph" w:styleId="41">
    <w:name w:val="toc 4"/>
    <w:basedOn w:val="a"/>
    <w:next w:val="a"/>
    <w:autoRedefine/>
    <w:uiPriority w:val="39"/>
    <w:unhideWhenUsed/>
    <w:rsid w:val="008E6C43"/>
    <w:pPr>
      <w:spacing w:after="100"/>
      <w:ind w:left="660"/>
    </w:pPr>
    <w:rPr>
      <w:i/>
      <w:iCs/>
    </w:rPr>
  </w:style>
  <w:style w:type="paragraph" w:styleId="51">
    <w:name w:val="toc 5"/>
    <w:basedOn w:val="a"/>
    <w:next w:val="a"/>
    <w:autoRedefine/>
    <w:uiPriority w:val="39"/>
    <w:unhideWhenUsed/>
    <w:rsid w:val="008E6C43"/>
    <w:pPr>
      <w:spacing w:after="100"/>
      <w:ind w:left="880"/>
    </w:pPr>
    <w:rPr>
      <w:i/>
      <w:iCs/>
    </w:rPr>
  </w:style>
  <w:style w:type="paragraph" w:styleId="61">
    <w:name w:val="toc 6"/>
    <w:basedOn w:val="a"/>
    <w:next w:val="a"/>
    <w:autoRedefine/>
    <w:uiPriority w:val="39"/>
    <w:unhideWhenUsed/>
    <w:rsid w:val="008E6C43"/>
    <w:pPr>
      <w:spacing w:after="100"/>
      <w:ind w:left="1100"/>
    </w:pPr>
    <w:rPr>
      <w:i/>
      <w:iCs/>
    </w:rPr>
  </w:style>
  <w:style w:type="paragraph" w:styleId="71">
    <w:name w:val="toc 7"/>
    <w:basedOn w:val="a"/>
    <w:next w:val="a"/>
    <w:autoRedefine/>
    <w:uiPriority w:val="39"/>
    <w:unhideWhenUsed/>
    <w:rsid w:val="008E6C43"/>
    <w:pPr>
      <w:spacing w:after="100"/>
      <w:ind w:left="1320"/>
    </w:pPr>
    <w:rPr>
      <w:i/>
      <w:iCs/>
    </w:rPr>
  </w:style>
  <w:style w:type="paragraph" w:styleId="81">
    <w:name w:val="toc 8"/>
    <w:basedOn w:val="a"/>
    <w:next w:val="a"/>
    <w:autoRedefine/>
    <w:uiPriority w:val="39"/>
    <w:unhideWhenUsed/>
    <w:rsid w:val="008E6C43"/>
    <w:pPr>
      <w:spacing w:after="100"/>
      <w:ind w:left="1540"/>
    </w:pPr>
    <w:rPr>
      <w:i/>
      <w:iCs/>
    </w:rPr>
  </w:style>
  <w:style w:type="paragraph" w:styleId="91">
    <w:name w:val="toc 9"/>
    <w:basedOn w:val="a"/>
    <w:next w:val="a"/>
    <w:autoRedefine/>
    <w:uiPriority w:val="39"/>
    <w:unhideWhenUsed/>
    <w:rsid w:val="008E6C43"/>
    <w:pPr>
      <w:spacing w:after="100"/>
      <w:ind w:left="1760"/>
    </w:pPr>
    <w:rPr>
      <w:i/>
      <w:iCs/>
    </w:rPr>
  </w:style>
  <w:style w:type="paragraph" w:styleId="HTML">
    <w:name w:val="HTML Preformatted"/>
    <w:basedOn w:val="a"/>
    <w:link w:val="HTML0"/>
    <w:uiPriority w:val="99"/>
    <w:semiHidden/>
    <w:unhideWhenUsed/>
    <w:rsid w:val="008E6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i/>
      <w:iCs/>
    </w:rPr>
  </w:style>
  <w:style w:type="character" w:customStyle="1" w:styleId="HTML0">
    <w:name w:val="HTML 预设格式 字符"/>
    <w:basedOn w:val="a0"/>
    <w:link w:val="HTML"/>
    <w:uiPriority w:val="99"/>
    <w:semiHidden/>
    <w:rsid w:val="008E6C43"/>
    <w:rPr>
      <w:rFonts w:ascii="Courier New" w:eastAsia="Times New Roman" w:hAnsi="Courier New" w:cs="Courier New"/>
      <w:kern w:val="0"/>
      <w:sz w:val="20"/>
      <w:szCs w:val="20"/>
      <w:lang w:val="en-GB"/>
    </w:rPr>
  </w:style>
  <w:style w:type="character" w:customStyle="1" w:styleId="named-content">
    <w:name w:val="named-content"/>
    <w:basedOn w:val="a0"/>
    <w:rsid w:val="008E6C43"/>
  </w:style>
  <w:style w:type="paragraph" w:customStyle="1" w:styleId="mb15">
    <w:name w:val="mb15"/>
    <w:basedOn w:val="a"/>
    <w:rsid w:val="008E6C43"/>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b0">
    <w:name w:val="mb0"/>
    <w:basedOn w:val="a"/>
    <w:rsid w:val="008E6C43"/>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xn-money">
    <w:name w:val="xn-money"/>
    <w:basedOn w:val="a0"/>
    <w:rsid w:val="008E6C43"/>
  </w:style>
  <w:style w:type="character" w:customStyle="1" w:styleId="currenthithighlight">
    <w:name w:val="currenthithighlight"/>
    <w:basedOn w:val="a0"/>
    <w:rsid w:val="008E6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3E3A9-CFA4-4C0D-B2FA-E146DFF9B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7</Pages>
  <Words>7177</Words>
  <Characters>40914</Characters>
  <Application>Microsoft Office Word</Application>
  <DocSecurity>0</DocSecurity>
  <Lines>340</Lines>
  <Paragraphs>95</Paragraphs>
  <ScaleCrop>false</ScaleCrop>
  <Company>Hewlett-Packard</Company>
  <LinksUpToDate>false</LinksUpToDate>
  <CharactersWithSpaces>47996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Sun Lingyue</cp:lastModifiedBy>
  <cp:revision>22</cp:revision>
  <dcterms:created xsi:type="dcterms:W3CDTF">2019-01-28T22:51:00Z</dcterms:created>
  <dcterms:modified xsi:type="dcterms:W3CDTF">2020-05-04T16:33:00Z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http://www.zotero.org/styles/biochemical-engineering-journal</vt:lpwstr>
  </property>
  <property fmtid="{D5CDD505-2E9C-101B-9397-08002B2CF9AE}" pid="7" name="Mendeley Recent Style Name 2_1">
    <vt:lpwstr>Biochemical Engineering Journal</vt:lpwstr>
  </property>
  <property fmtid="{D5CDD505-2E9C-101B-9397-08002B2CF9AE}" pid="8" name="Mendeley Recent Style Id 3_1">
    <vt:lpwstr>http://www.zotero.org/styles/bioresource-technology</vt:lpwstr>
  </property>
  <property fmtid="{D5CDD505-2E9C-101B-9397-08002B2CF9AE}" pid="9" name="Mendeley Recent Style Name 3_1">
    <vt:lpwstr>Bioresource Technology</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http://csl.mendeley.com/styles/26104491/elsevier-with-titles-Comp-Biotechol</vt:lpwstr>
  </property>
  <property fmtid="{D5CDD505-2E9C-101B-9397-08002B2CF9AE}" pid="13" name="Mendeley Recent Style Name 5_1">
    <vt:lpwstr>Elsevier (numeric, with titles) - Comprehensive Biotechnology</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http://www.zotero.org/styles/processes</vt:lpwstr>
  </property>
  <property fmtid="{D5CDD505-2E9C-101B-9397-08002B2CF9AE}" pid="21" name="Mendeley Recent Style Name 9_1">
    <vt:lpwstr>Processes</vt:lpwstr>
  </property>
  <property fmtid="{D5CDD505-2E9C-101B-9397-08002B2CF9AE}" pid="22" name="Mendeley Document_1">
    <vt:lpwstr>True</vt:lpwstr>
  </property>
  <property fmtid="{D5CDD505-2E9C-101B-9397-08002B2CF9AE}" pid="23" name="Mendeley Unique User Id_1">
    <vt:lpwstr>687c165d-4597-3b40-b64b-1a4ff7cdb65c</vt:lpwstr>
  </property>
  <property fmtid="{D5CDD505-2E9C-101B-9397-08002B2CF9AE}" pid="24" name="Mendeley Citation Style_1">
    <vt:lpwstr>http://www.zotero.org/styles/processes</vt:lpwstr>
  </property>
</Properties>
</file>